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Комитета по ценам и тарифам Правительства Хабаровского края от 19.12.2023 N 44/14</w:t>
              <w:br/>
              <w:t xml:space="preserve">"Об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2024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КОМИТЕТ ПО ЦЕНАМ И ТАРИФАМ ПРАВИТЕЛЬСТВА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декабря 2023 г. N 44/14</w:t>
      </w:r>
    </w:p>
    <w:p>
      <w:pPr>
        <w:pStyle w:val="2"/>
        <w:jc w:val="both"/>
      </w:pPr>
      <w:r>
        <w:rPr>
          <w:sz w:val="20"/>
        </w:rPr>
      </w:r>
    </w:p>
    <w:p>
      <w:pPr>
        <w:pStyle w:val="2"/>
        <w:jc w:val="center"/>
      </w:pPr>
      <w:r>
        <w:rPr>
          <w:sz w:val="20"/>
        </w:rPr>
        <w:t xml:space="preserve">ОБ УСТАНОВЛЕНИИ РАЗМЕРА ЕДИНЫХ СТАНДАРТИЗИРОВАННЫХ ТАРИФНЫХ</w:t>
      </w:r>
    </w:p>
    <w:p>
      <w:pPr>
        <w:pStyle w:val="2"/>
        <w:jc w:val="center"/>
      </w:pPr>
      <w:r>
        <w:rPr>
          <w:sz w:val="20"/>
        </w:rPr>
        <w:t xml:space="preserve">СТАВОК И ФОРМУЛ ПЛАТЫ ЗА ТЕХНОЛОГИЧЕСКОЕ ПРИСОЕДИНЕНИЕ</w:t>
      </w:r>
    </w:p>
    <w:p>
      <w:pPr>
        <w:pStyle w:val="2"/>
        <w:jc w:val="center"/>
      </w:pPr>
      <w:r>
        <w:rPr>
          <w:sz w:val="20"/>
        </w:rPr>
        <w:t xml:space="preserve">ЭНЕРГОПРИНИМАЮЩИХ УСТРОЙСТВ ПОТРЕБИТЕЛЕЙ К ЭЛЕКТРИЧЕСКИМ</w:t>
      </w:r>
    </w:p>
    <w:p>
      <w:pPr>
        <w:pStyle w:val="2"/>
        <w:jc w:val="center"/>
      </w:pPr>
      <w:r>
        <w:rPr>
          <w:sz w:val="20"/>
        </w:rPr>
        <w:t xml:space="preserve">СЕТЯМ ДЛЯ ВСЕХ ТЕРРИТОРИАЛЬНЫХ СЕТЕВЫХ ОРГАНИЗАЦИЙ</w:t>
      </w:r>
    </w:p>
    <w:p>
      <w:pPr>
        <w:pStyle w:val="2"/>
        <w:jc w:val="center"/>
      </w:pPr>
      <w:r>
        <w:rPr>
          <w:sz w:val="20"/>
        </w:rPr>
        <w:t xml:space="preserve">НА ТЕРРИТОРИИ ХАБАРОВСКОГО КРАЯ НА 2024 ГОД</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6.03.2003 N 35-ФЗ (ред. от 02.11.2023) &quot;Об электроэнергетике&quot; (с изм. и доп., вступ. в силу с 01.01.2024) {КонсультантПлюс}">
        <w:r>
          <w:rPr>
            <w:sz w:val="20"/>
            <w:color w:val="0000ff"/>
          </w:rPr>
          <w:t xml:space="preserve">законом</w:t>
        </w:r>
      </w:hyperlink>
      <w:r>
        <w:rPr>
          <w:sz w:val="20"/>
        </w:rPr>
        <w:t xml:space="preserve"> от 26 марта 2003 г. N 35-ФЗ "Об электроэнергетике", постановлениями Правительства Российской Федерации от 27 декабря 2004 г. </w:t>
      </w:r>
      <w:hyperlink w:history="0" r:id="rId8"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N 861</w:t>
        </w:r>
      </w:hyperlink>
      <w:r>
        <w:rPr>
          <w:sz w:val="20"/>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29 декабря 2011 г. </w:t>
      </w:r>
      <w:hyperlink w:history="0" r:id="rId9" w:tooltip="Постановление Правительства РФ от 29.12.2011 N 1178 (ред. от 28.12.2023)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N 1178</w:t>
        </w:r>
      </w:hyperlink>
      <w:r>
        <w:rPr>
          <w:sz w:val="20"/>
        </w:rPr>
        <w:t xml:space="preserve"> "О ценообразовании в области регулируемых цен (тарифов) в электроэнергетике", </w:t>
      </w:r>
      <w:hyperlink w:history="0" r:id="rId10" w:tooltip="Приказ ФСТ России от 06.08.2004 N 20-э/2 (ред. от 15.02.2022) &quot;Об утверждении Методических указаний по расчету регулируемых тарифов и цен на электрическую (тепловую) энергию на розничном (потребительском) рынке&quot; (Зарегистрировано в Минюсте России 20.10.2004 N 6076) {КонсультантПлюс}">
        <w:r>
          <w:rPr>
            <w:sz w:val="20"/>
            <w:color w:val="0000ff"/>
          </w:rPr>
          <w:t xml:space="preserve">Приказом</w:t>
        </w:r>
      </w:hyperlink>
      <w:r>
        <w:rPr>
          <w:sz w:val="20"/>
        </w:rPr>
        <w:t xml:space="preserve"> ФСТ России от 6 августа 2004 г. N 20-э/2 "Об утверждении Методических указаний по расчету регулируемых тарифов и цен на электрическую (тепловую) энергию на розничном (потребительском) рынке", приказами ФАС России от 10 марта 2022 г. </w:t>
      </w:r>
      <w:hyperlink w:history="0" r:id="rId11" w:tooltip="Приказ ФАС России от 10.03.2022 N 196/22 (ред. от 20.07.2023)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07.11.2022 N 70823) {КонсультантПлюс}">
        <w:r>
          <w:rPr>
            <w:sz w:val="20"/>
            <w:color w:val="0000ff"/>
          </w:rPr>
          <w:t xml:space="preserve">N 196/22</w:t>
        </w:r>
      </w:hyperlink>
      <w:r>
        <w:rPr>
          <w:sz w:val="20"/>
        </w:rPr>
        <w:t xml:space="preserve">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от 30 июня 2022 г. </w:t>
      </w:r>
      <w:hyperlink w:history="0" r:id="rId12"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N 490/22</w:t>
        </w:r>
      </w:hyperlink>
      <w:r>
        <w:rPr>
          <w:sz w:val="20"/>
        </w:rPr>
        <w:t xml:space="preserve"> "Об утверждении Методических указаний по определению размера платы за технологическое присоединение к электрическим сетям", </w:t>
      </w:r>
      <w:hyperlink w:history="0" r:id="rId13" w:tooltip="Постановление Правительства Хабаровского края от 04.06.2010 N 142-пр (ред. от 04.09.2023) &quot;Об утверждении Положения о комитете по ценам и тарифам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4 июня 2010 г. N 142-пр "Об утверждении Положения о комитете по ценам и тарифам Правительства Хабаровского края" комитет по ценам и тарифам Правительства Хабаровского края постановляет:</w:t>
      </w:r>
    </w:p>
    <w:bookmarkStart w:id="13" w:name="P13"/>
    <w:bookmarkEnd w:id="13"/>
    <w:p>
      <w:pPr>
        <w:pStyle w:val="0"/>
        <w:spacing w:before="200" w:line-rule="auto"/>
        <w:ind w:firstLine="540"/>
        <w:jc w:val="both"/>
      </w:pPr>
      <w:r>
        <w:rPr>
          <w:sz w:val="20"/>
        </w:rPr>
        <w:t xml:space="preserve">1. Установить:</w:t>
      </w:r>
    </w:p>
    <w:p>
      <w:pPr>
        <w:pStyle w:val="0"/>
        <w:spacing w:before="200" w:line-rule="auto"/>
        <w:ind w:firstLine="540"/>
        <w:jc w:val="both"/>
      </w:pPr>
      <w:r>
        <w:rPr>
          <w:sz w:val="20"/>
        </w:rPr>
        <w:t xml:space="preserve">1) льготную ставку за 1 кВт запрашиваемой максимальной мощности при технологическом присоединении объектов микрогенерации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за исключением случаев, указанных в </w:t>
      </w:r>
      <w:hyperlink w:history="0" w:anchor="P22" w:tooltip="2) льготную ставку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
        <w:r>
          <w:rPr>
            <w:sz w:val="20"/>
            <w:color w:val="0000ff"/>
          </w:rPr>
          <w:t xml:space="preserve">подпункте 2) пункта 1</w:t>
        </w:r>
      </w:hyperlink>
      <w:r>
        <w:rPr>
          <w:sz w:val="20"/>
        </w:rPr>
        <w:t xml:space="preserve"> настоящего постановления,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w:t>
      </w:r>
    </w:p>
    <w:p>
      <w:pPr>
        <w:pStyle w:val="0"/>
        <w:spacing w:before="200" w:line-rule="auto"/>
        <w:ind w:firstLine="540"/>
        <w:jc w:val="both"/>
      </w:pPr>
      <w:r>
        <w:rPr>
          <w:sz w:val="20"/>
        </w:rPr>
        <w:t xml:space="preserve">- с 1 января 2024 г. по 30 июня 2024 г. - в размере 4 477,31 руб./кВт;</w:t>
      </w:r>
    </w:p>
    <w:p>
      <w:pPr>
        <w:pStyle w:val="0"/>
        <w:spacing w:before="200" w:line-rule="auto"/>
        <w:ind w:firstLine="540"/>
        <w:jc w:val="both"/>
      </w:pPr>
      <w:r>
        <w:rPr>
          <w:sz w:val="20"/>
        </w:rPr>
        <w:t xml:space="preserve">- с 1 июля 2024 г. по 31 декабря 2024 г. - в размере 5 260 руб./кВт.</w:t>
      </w:r>
    </w:p>
    <w:p>
      <w:pPr>
        <w:pStyle w:val="0"/>
        <w:spacing w:before="200" w:line-rule="auto"/>
        <w:ind w:firstLine="540"/>
        <w:jc w:val="both"/>
      </w:pPr>
      <w:r>
        <w:rPr>
          <w:sz w:val="20"/>
        </w:rPr>
        <w:t xml:space="preserve">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стандартизированных тарифных ставок, утверждаемых постановлением;</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льготной ставки за 1 кВт запрашиваемой максимальной мощности:</w:t>
      </w:r>
    </w:p>
    <w:p>
      <w:pPr>
        <w:pStyle w:val="0"/>
        <w:spacing w:before="200" w:line-rule="auto"/>
        <w:ind w:firstLine="540"/>
        <w:jc w:val="both"/>
      </w:pPr>
      <w:r>
        <w:rPr>
          <w:sz w:val="20"/>
        </w:rPr>
        <w:t xml:space="preserve">- с 1 января 2024 г. по 30 июня 2024 г. - в размере 4 477,31 руб./кВт;</w:t>
      </w:r>
    </w:p>
    <w:p>
      <w:pPr>
        <w:pStyle w:val="0"/>
        <w:spacing w:before="200" w:line-rule="auto"/>
        <w:ind w:firstLine="540"/>
        <w:jc w:val="both"/>
      </w:pPr>
      <w:r>
        <w:rPr>
          <w:sz w:val="20"/>
        </w:rPr>
        <w:t xml:space="preserve">- с 1 июля 2024 г. по 31 декабря 2024 г. - в размере 5 260 руб./кВт.</w:t>
      </w:r>
    </w:p>
    <w:bookmarkStart w:id="22" w:name="P22"/>
    <w:bookmarkEnd w:id="22"/>
    <w:p>
      <w:pPr>
        <w:pStyle w:val="0"/>
        <w:spacing w:before="200" w:line-rule="auto"/>
        <w:ind w:firstLine="540"/>
        <w:jc w:val="both"/>
      </w:pPr>
      <w:r>
        <w:rPr>
          <w:sz w:val="20"/>
        </w:rPr>
        <w:t xml:space="preserve">2) льготную ставку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при заключении договора членом малообеспеченной семьи (одиноко проживающим гражданином), среднедушевой доход которой (доход которого) ниже величины прожиточного минимума, определенной в соответствии со </w:t>
      </w:r>
      <w:hyperlink w:history="0" r:id="rId14"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статьей 4</w:t>
        </w:r>
      </w:hyperlink>
      <w:r>
        <w:rPr>
          <w:sz w:val="20"/>
        </w:rPr>
        <w:t xml:space="preserve"> Федерального закона от 24 октября 1997 г. N 134-ФЗ "О прожиточном минимуме в Российской Федерации", а также лицами, указанными в </w:t>
      </w:r>
      <w:hyperlink w:history="0" r:id="rId15"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в </w:t>
      </w:r>
      <w:hyperlink w:history="0" r:id="rId16" w:tooltip="Федеральный закон от 12.01.1995 N 5-ФЗ (ред. от 25.12.2023) &quot;О ветеранах&quot; (с изм. и доп., вступ. в силу с 01.01.2024) {КонсультантПлюс}">
        <w:r>
          <w:rPr>
            <w:sz w:val="20"/>
            <w:color w:val="0000ff"/>
          </w:rPr>
          <w:t xml:space="preserve">статьях 14</w:t>
        </w:r>
      </w:hyperlink>
      <w:r>
        <w:rPr>
          <w:sz w:val="20"/>
        </w:rPr>
        <w:t xml:space="preserve"> - </w:t>
      </w:r>
      <w:hyperlink w:history="0" r:id="rId17" w:tooltip="Федеральный закон от 12.01.1995 N 5-ФЗ (ред. от 25.12.2023) &quot;О ветеранах&quot; (с изм. и доп., вступ. в силу с 01.01.2024) {КонсультантПлюс}">
        <w:r>
          <w:rPr>
            <w:sz w:val="20"/>
            <w:color w:val="0000ff"/>
          </w:rPr>
          <w:t xml:space="preserve">16</w:t>
        </w:r>
      </w:hyperlink>
      <w:r>
        <w:rPr>
          <w:sz w:val="20"/>
        </w:rPr>
        <w:t xml:space="preserve">, </w:t>
      </w:r>
      <w:hyperlink w:history="0" r:id="rId18" w:tooltip="Федеральный закон от 12.01.1995 N 5-ФЗ (ред. от 25.12.2023) &quot;О ветеранах&quot; (с изм. и доп., вступ. в силу с 01.01.2024) {КонсультантПлюс}">
        <w:r>
          <w:rPr>
            <w:sz w:val="20"/>
            <w:color w:val="0000ff"/>
          </w:rPr>
          <w:t xml:space="preserve">18</w:t>
        </w:r>
      </w:hyperlink>
      <w:r>
        <w:rPr>
          <w:sz w:val="20"/>
        </w:rPr>
        <w:t xml:space="preserve"> и </w:t>
      </w:r>
      <w:hyperlink w:history="0" r:id="rId19" w:tooltip="Федеральный закон от 12.01.1995 N 5-ФЗ (ред. от 25.12.2023) &quot;О ветеранах&quot; (с изм. и доп., вступ. в силу с 01.01.2024) {КонсультантПлюс}">
        <w:r>
          <w:rPr>
            <w:sz w:val="20"/>
            <w:color w:val="0000ff"/>
          </w:rPr>
          <w:t xml:space="preserve">21</w:t>
        </w:r>
      </w:hyperlink>
      <w:r>
        <w:rPr>
          <w:sz w:val="20"/>
        </w:rPr>
        <w:t xml:space="preserve"> Федерального закона от 12 января 1995 г. N 5-ФЗ "О ветеранах", </w:t>
      </w:r>
      <w:hyperlink w:history="0" r:id="rId20"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от 24 ноября 1995 г. N 181-ФЗ "О социальной защите инвалидов в Российской Федерации", </w:t>
      </w:r>
      <w:hyperlink w:history="0" r:id="rId21"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2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статье 2</w:t>
        </w:r>
      </w:hyperlink>
      <w:r>
        <w:rPr>
          <w:sz w:val="20"/>
        </w:rP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w:t>
      </w:r>
      <w:hyperlink w:history="0" r:id="rId2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24" w:tooltip="Указ Президента РФ от 05.05.1992 N 431 (ред. от 25.02.2003) &quot;О мерах по социальной поддержке многодетных семей&quot; {КонсультантПлюс}">
        <w:r>
          <w:rPr>
            <w:sz w:val="20"/>
            <w:color w:val="0000ff"/>
          </w:rPr>
          <w:t xml:space="preserve">Указе</w:t>
        </w:r>
      </w:hyperlink>
      <w:r>
        <w:rPr>
          <w:sz w:val="20"/>
        </w:rPr>
        <w:t xml:space="preserve"> Президента Российской Федерации от 5 мая 1992 г. N 431 "О мерах по социальной поддержке многодетных семей", </w:t>
      </w:r>
      <w:hyperlink w:history="0" r:id="rId2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26"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устанавливаемая в отношении всей совокупности мероприятий по технологическому присоединению:</w:t>
      </w:r>
    </w:p>
    <w:p>
      <w:pPr>
        <w:pStyle w:val="0"/>
        <w:spacing w:before="200" w:line-rule="auto"/>
        <w:ind w:firstLine="540"/>
        <w:jc w:val="both"/>
      </w:pPr>
      <w:r>
        <w:rPr>
          <w:sz w:val="20"/>
        </w:rPr>
        <w:t xml:space="preserve">- с 1 января 2024 г. по 31 декабря 2024 г. - в размере 1 119,33 руб./кВт.</w:t>
      </w:r>
    </w:p>
    <w:bookmarkStart w:id="24" w:name="P24"/>
    <w:bookmarkEnd w:id="24"/>
    <w:p>
      <w:pPr>
        <w:pStyle w:val="0"/>
        <w:spacing w:before="200" w:line-rule="auto"/>
        <w:ind w:firstLine="540"/>
        <w:jc w:val="both"/>
      </w:pPr>
      <w:r>
        <w:rPr>
          <w:sz w:val="20"/>
        </w:rPr>
        <w:t xml:space="preserve">2. Установить единые стандартизированные тарифные </w:t>
      </w:r>
      <w:hyperlink w:history="0" w:anchor="P68" w:tooltip="Стандартизированная тарифная ставка">
        <w:r>
          <w:rPr>
            <w:sz w:val="20"/>
            <w:color w:val="0000ff"/>
          </w:rPr>
          <w:t xml:space="preserve">ставки</w:t>
        </w:r>
      </w:hyperlink>
      <w:r>
        <w:rPr>
          <w:sz w:val="20"/>
        </w:rPr>
        <w:t xml:space="preserve">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2024 год согласно приложению 1 к настоящему постановлению.</w:t>
      </w:r>
    </w:p>
    <w:bookmarkStart w:id="25" w:name="P25"/>
    <w:bookmarkEnd w:id="25"/>
    <w:p>
      <w:pPr>
        <w:pStyle w:val="0"/>
        <w:spacing w:before="200" w:line-rule="auto"/>
        <w:ind w:firstLine="540"/>
        <w:jc w:val="both"/>
      </w:pPr>
      <w:r>
        <w:rPr>
          <w:sz w:val="20"/>
        </w:rPr>
        <w:t xml:space="preserve">3. Установить </w:t>
      </w:r>
      <w:hyperlink w:history="0" w:anchor="P479" w:tooltip="ФОРМУЛЫ ПЛАТЫ ЗА ТЕХНОЛОГИЧЕСКОЕ ПРИСОЕДИНЕНИЕ">
        <w:r>
          <w:rPr>
            <w:sz w:val="20"/>
            <w:color w:val="0000ff"/>
          </w:rPr>
          <w:t xml:space="preserve">формулы</w:t>
        </w:r>
      </w:hyperlink>
      <w:r>
        <w:rPr>
          <w:sz w:val="20"/>
        </w:rPr>
        <w:t xml:space="preserve"> платы за технологическое присоединение энергопринимающих устройств потребителей к электрическим сетям территориальных сетевых организаций на территории Хабаровского края на 2024 год согласно приложению 2 к настоящему постановлению.</w:t>
      </w:r>
    </w:p>
    <w:p>
      <w:pPr>
        <w:pStyle w:val="0"/>
        <w:spacing w:before="200" w:line-rule="auto"/>
        <w:ind w:firstLine="540"/>
        <w:jc w:val="both"/>
      </w:pPr>
      <w:r>
        <w:rPr>
          <w:sz w:val="20"/>
        </w:rPr>
        <w:t xml:space="preserve">4.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и (или) энергопринимающих устройств определяется в размере минимального из следующих значений:</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стандартизированных тарифных </w:t>
      </w:r>
      <w:hyperlink w:history="0" w:anchor="P68" w:tooltip="Стандартизированная тарифная ставка">
        <w:r>
          <w:rPr>
            <w:sz w:val="20"/>
            <w:color w:val="0000ff"/>
          </w:rPr>
          <w:t xml:space="preserve">ставок</w:t>
        </w:r>
      </w:hyperlink>
      <w:r>
        <w:rPr>
          <w:sz w:val="20"/>
        </w:rPr>
        <w:t xml:space="preserve">, утвержденных настоящим постановлением;</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льготной ставки за 1 кВт запрашиваемой максимальной мощности:</w:t>
      </w:r>
    </w:p>
    <w:p>
      <w:pPr>
        <w:pStyle w:val="0"/>
        <w:spacing w:before="200" w:line-rule="auto"/>
        <w:ind w:firstLine="540"/>
        <w:jc w:val="both"/>
      </w:pPr>
      <w:r>
        <w:rPr>
          <w:sz w:val="20"/>
        </w:rPr>
        <w:t xml:space="preserve">- с 1 января 2024 г. по 30 июня 2024 г. - в размере 4 477,31 руб./кВт;</w:t>
      </w:r>
    </w:p>
    <w:p>
      <w:pPr>
        <w:pStyle w:val="0"/>
        <w:spacing w:before="200" w:line-rule="auto"/>
        <w:ind w:firstLine="540"/>
        <w:jc w:val="both"/>
      </w:pPr>
      <w:r>
        <w:rPr>
          <w:sz w:val="20"/>
        </w:rPr>
        <w:t xml:space="preserve">- с 1 июля 2024 г. по 31 декабря 2024 г. - в размере 5 260 руб./кВт.</w:t>
      </w:r>
    </w:p>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r:id="rId27"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пункте 12(1)</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(далее - Правила N 861),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5. Положения о размере платы за технологическое присоединение, указанные в </w:t>
      </w:r>
      <w:hyperlink w:history="0" r:id="rId28"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абзацах первом</w:t>
        </w:r>
      </w:hyperlink>
      <w:r>
        <w:rPr>
          <w:sz w:val="20"/>
        </w:rPr>
        <w:t xml:space="preserve"> - </w:t>
      </w:r>
      <w:hyperlink w:history="0" r:id="rId29"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втором</w:t>
        </w:r>
      </w:hyperlink>
      <w:r>
        <w:rPr>
          <w:sz w:val="20"/>
        </w:rPr>
        <w:t xml:space="preserve"> и </w:t>
      </w:r>
      <w:hyperlink w:history="0" r:id="rId30"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шестом пункта 17</w:t>
        </w:r>
      </w:hyperlink>
      <w:r>
        <w:rPr>
          <w:sz w:val="20"/>
        </w:rPr>
        <w:t xml:space="preserve"> Правил N 861, не могут быть применены в следующих случаях:</w:t>
      </w:r>
    </w:p>
    <w:p>
      <w:pPr>
        <w:pStyle w:val="0"/>
        <w:spacing w:before="200" w:line-rule="auto"/>
        <w:ind w:firstLine="540"/>
        <w:jc w:val="both"/>
      </w:pPr>
      <w:r>
        <w:rPr>
          <w:sz w:val="20"/>
        </w:rPr>
        <w:t xml:space="preserve">а)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б)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в) 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r:id="rId31"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абзацах первом</w:t>
        </w:r>
      </w:hyperlink>
      <w:r>
        <w:rPr>
          <w:sz w:val="20"/>
        </w:rPr>
        <w:t xml:space="preserve">, </w:t>
      </w:r>
      <w:hyperlink w:history="0" r:id="rId32"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четвертом</w:t>
        </w:r>
      </w:hyperlink>
      <w:r>
        <w:rPr>
          <w:sz w:val="20"/>
        </w:rPr>
        <w:t xml:space="preserve">, </w:t>
      </w:r>
      <w:hyperlink w:history="0" r:id="rId33"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пятом</w:t>
        </w:r>
      </w:hyperlink>
      <w:r>
        <w:rPr>
          <w:sz w:val="20"/>
        </w:rPr>
        <w:t xml:space="preserve">, </w:t>
      </w:r>
      <w:hyperlink w:history="0" r:id="rId34"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двадцатом</w:t>
        </w:r>
      </w:hyperlink>
      <w:r>
        <w:rPr>
          <w:sz w:val="20"/>
        </w:rPr>
        <w:t xml:space="preserve"> и </w:t>
      </w:r>
      <w:hyperlink w:history="0" r:id="rId35"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шестом пункта 17</w:t>
        </w:r>
      </w:hyperlink>
      <w:r>
        <w:rPr>
          <w:sz w:val="20"/>
        </w:rPr>
        <w:t xml:space="preserve"> Правил N 861, если лицом, обратившимся с заявкой, ранее уже была подана заявка, которая не была аннулирована в соответствии с </w:t>
      </w:r>
      <w:hyperlink w:history="0" r:id="rId36"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N 861,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spacing w:before="200" w:line-rule="auto"/>
        <w:ind w:firstLine="540"/>
        <w:jc w:val="both"/>
      </w:pPr>
      <w:r>
        <w:rPr>
          <w:sz w:val="20"/>
        </w:rPr>
        <w:t xml:space="preserve">г) при технологическом присоединении энергопринимающих устройств заявителей, указанных в </w:t>
      </w:r>
      <w:hyperlink w:history="0" r:id="rId37"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пункте 12(1)</w:t>
        </w:r>
      </w:hyperlink>
      <w:r>
        <w:rPr>
          <w:sz w:val="20"/>
        </w:rPr>
        <w:t xml:space="preserve"> Правил N 861 - юридических лиц или индивидуальных предпринимателей в целях технологического присоединения, максимальная мощность которых составляет до 150 кВт включительно,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w:t>
      </w:r>
      <w:hyperlink w:history="0" r:id="rId38"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N 861, или заключен договор, предусматривающий установленные </w:t>
      </w:r>
      <w:hyperlink w:history="0" r:id="rId39" w:tooltip="Постановление Правительства РФ от 27.12.2004 N 861 (ред. от 29.11.2023)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абзацем двадцать шестым пункта 17</w:t>
        </w:r>
      </w:hyperlink>
      <w:r>
        <w:rPr>
          <w:sz w:val="20"/>
        </w:rPr>
        <w:t xml:space="preserve"> Правил N 861 особенности расчета платы за технологическое присоединение, при условии, что со дня заключения такого договора не истекло 3 года.</w:t>
      </w:r>
    </w:p>
    <w:p>
      <w:pPr>
        <w:pStyle w:val="0"/>
        <w:spacing w:before="200" w:line-rule="auto"/>
        <w:ind w:firstLine="540"/>
        <w:jc w:val="both"/>
      </w:pPr>
      <w:r>
        <w:rPr>
          <w:sz w:val="20"/>
        </w:rPr>
        <w:t xml:space="preserve">6. Ставки и формулы платы, установленные в </w:t>
      </w:r>
      <w:hyperlink w:history="0" w:anchor="P13" w:tooltip="1. Установить:">
        <w:r>
          <w:rPr>
            <w:sz w:val="20"/>
            <w:color w:val="0000ff"/>
          </w:rPr>
          <w:t xml:space="preserve">пунктах 1</w:t>
        </w:r>
      </w:hyperlink>
      <w:r>
        <w:rPr>
          <w:sz w:val="20"/>
        </w:rPr>
        <w:t xml:space="preserve">, </w:t>
      </w:r>
      <w:hyperlink w:history="0" w:anchor="P24" w:tooltip="2. Установить единые стандартизированные тарифные ставки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4 год согласно приложению 1 к настоящему постановлению.">
        <w:r>
          <w:rPr>
            <w:sz w:val="20"/>
            <w:color w:val="0000ff"/>
          </w:rPr>
          <w:t xml:space="preserve">2</w:t>
        </w:r>
      </w:hyperlink>
      <w:r>
        <w:rPr>
          <w:sz w:val="20"/>
        </w:rPr>
        <w:t xml:space="preserve">, </w:t>
      </w:r>
      <w:hyperlink w:history="0" w:anchor="P25" w:tooltip="3. Установить формулы платы за технологическое присоединение энергопринимающих устройств потребителей к электрическим сетям территориальных сетевых организаций на территории Хабаровского края на 2024 год согласно приложению 2 к настоящему постановлению.">
        <w:r>
          <w:rPr>
            <w:sz w:val="20"/>
            <w:color w:val="0000ff"/>
          </w:rPr>
          <w:t xml:space="preserve">3</w:t>
        </w:r>
      </w:hyperlink>
      <w:r>
        <w:rPr>
          <w:sz w:val="20"/>
        </w:rPr>
        <w:t xml:space="preserve"> настоящего постановления, действуют с 1 января 2024 г. по 31 декабря 2024 г.</w:t>
      </w:r>
    </w:p>
    <w:p>
      <w:pPr>
        <w:pStyle w:val="0"/>
        <w:spacing w:before="200" w:line-rule="auto"/>
        <w:ind w:firstLine="540"/>
        <w:jc w:val="both"/>
      </w:pPr>
      <w:r>
        <w:rPr>
          <w:sz w:val="20"/>
        </w:rPr>
        <w:t xml:space="preserve">7. Расходы сетевых организаций за 2024 год, связанные с осуществлением технологического присоединения к электрическим сетям и не включаемые в плату за технологическое присоединение в соответствии с Методическими </w:t>
      </w:r>
      <w:hyperlink w:history="0" r:id="rId40" w:tooltip="Приказ ФСТ России от 11.09.2014 N 215-э/1 (ред. от 30.06.2022) &quot;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quot; (Зарегистрировано в Минюсте России 14.10.2014 N 34297) {КонсультантПлюс}">
        <w:r>
          <w:rPr>
            <w:sz w:val="20"/>
            <w:color w:val="0000ff"/>
          </w:rPr>
          <w:t xml:space="preserve">указаниями</w:t>
        </w:r>
      </w:hyperlink>
      <w:r>
        <w:rPr>
          <w:sz w:val="20"/>
        </w:rPr>
        <w:t xml:space="preserve"> по определению выпадающих доходов, связанных с осуществлением технологического присоединения к электрическим сетям, утвержденных Приказом ФСТ России от 11 сентября 2014 г. N 215-э/1, при представлении подтверждающих документов будут учтены в тарифах на оказание услуг по передаче электрической энергии по электрическим сетям в последующие периоды регулирования.</w:t>
      </w:r>
    </w:p>
    <w:p>
      <w:pPr>
        <w:pStyle w:val="0"/>
        <w:spacing w:before="200" w:line-rule="auto"/>
        <w:ind w:firstLine="540"/>
        <w:jc w:val="both"/>
      </w:pPr>
      <w:r>
        <w:rPr>
          <w:sz w:val="20"/>
        </w:rPr>
        <w:t xml:space="preserve">8. Признать с 1 января 2024 г. утратившими силу постановления комитета по ценам и тарифам Правительства Хабаровского края:</w:t>
      </w:r>
    </w:p>
    <w:p>
      <w:pPr>
        <w:pStyle w:val="0"/>
        <w:spacing w:before="200" w:line-rule="auto"/>
        <w:ind w:firstLine="540"/>
        <w:jc w:val="both"/>
      </w:pPr>
      <w:r>
        <w:rPr>
          <w:sz w:val="20"/>
        </w:rPr>
        <w:t xml:space="preserve">- от 28 ноября 2022 г. </w:t>
      </w:r>
      <w:hyperlink w:history="0" r:id="rId41" w:tooltip="Постановление Комитета по ценам и тарифам Правительства Хабаровского края от 28.11.2022 N 48/1 (ред. от 04.12.2023)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48/1</w:t>
        </w:r>
      </w:hyperlink>
      <w:r>
        <w:rPr>
          <w:sz w:val="20"/>
        </w:rPr>
        <w:t xml:space="preserve">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14 декабря 2022 г. </w:t>
      </w:r>
      <w:hyperlink w:history="0" r:id="rId42" w:tooltip="Постановление Комитета по ценам и тарифам Правительства Хабаровского края от 14.12.2022 N 51/9 &quot;О внесении изменения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51/9</w:t>
        </w:r>
      </w:hyperlink>
      <w:r>
        <w:rPr>
          <w:sz w:val="20"/>
        </w:rPr>
        <w:t xml:space="preserve"> "О внесении изменения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21 декабря 2022 г. </w:t>
      </w:r>
      <w:hyperlink w:history="0" r:id="rId43" w:tooltip="Постановление Комитета по ценам и тарифам Правительства Хабаровского края от 21.12.2022 N 52/1 &quot;О внесении изменения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52/1</w:t>
        </w:r>
      </w:hyperlink>
      <w:r>
        <w:rPr>
          <w:sz w:val="20"/>
        </w:rPr>
        <w:t xml:space="preserve"> "О внесении изменения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22 марта 2023 г. </w:t>
      </w:r>
      <w:hyperlink w:history="0" r:id="rId44" w:tooltip="Постановление Комитета по ценам и тарифам Правительства Хабаровского края от 22.03.2023 N 10/4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10/4</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31 марта 2023 г. </w:t>
      </w:r>
      <w:hyperlink w:history="0" r:id="rId45" w:tooltip="Постановление Комитета по ценам и тарифам Правительства Хабаровского края от 31.03.2023 N 11/3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11/3</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26 апреля 2023 г. </w:t>
      </w:r>
      <w:hyperlink w:history="0" r:id="rId46" w:tooltip="Постановление Комитета по ценам и тарифам Правительства Хабаровского края от 26.04.2023 N 13/4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13/4</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1 июня 2023 г. </w:t>
      </w:r>
      <w:hyperlink w:history="0" r:id="rId47" w:tooltip="Постановление Комитета по ценам и тарифам Правительства Хабаровского края от 01.06.2023 N 19/2 &quot;О внесении изменения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19/2</w:t>
        </w:r>
      </w:hyperlink>
      <w:r>
        <w:rPr>
          <w:sz w:val="20"/>
        </w:rPr>
        <w:t xml:space="preserve"> "О внесении изменения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28 июня 2023 г. </w:t>
      </w:r>
      <w:hyperlink w:history="0" r:id="rId48" w:tooltip="Постановление Комитета по ценам и тарифам Правительства Хабаровского края от 28.06.2023 N 22/4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22/4</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23 августа 2023 г. </w:t>
      </w:r>
      <w:hyperlink w:history="0" r:id="rId49" w:tooltip="Постановление Комитета по ценам и тарифам Правительства Хабаровского края от 23.08.2023 N 26/8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26/8</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13 ноября 2023 г. </w:t>
      </w:r>
      <w:hyperlink w:history="0" r:id="rId50" w:tooltip="Постановление Комитета по ценам и тарифам Правительства Хабаровского края от 13.11.2023 N 36/2 &quot;О внесении изменения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36/2</w:t>
        </w:r>
      </w:hyperlink>
      <w:r>
        <w:rPr>
          <w:sz w:val="20"/>
        </w:rPr>
        <w:t xml:space="preserve"> "О внесении изменения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22 ноября 2023 г. </w:t>
      </w:r>
      <w:hyperlink w:history="0" r:id="rId51" w:tooltip="Постановление Комитета по ценам и тарифам Правительства Хабаровского края от 22.11.2023 N 38/6 &quot;О внесении изменения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38/6</w:t>
        </w:r>
      </w:hyperlink>
      <w:r>
        <w:rPr>
          <w:sz w:val="20"/>
        </w:rPr>
        <w:t xml:space="preserve"> "О внесении изменения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 от 4 декабря 2023 г. </w:t>
      </w:r>
      <w:hyperlink w:history="0" r:id="rId52" w:tooltip="Постановление Комитета по ценам и тарифам Правительства Хабаровского края от 04.12.2023 N 40/1 &quot;О внесении изменений в постановление комитета по ценам и тарифам Правительства Хабаровского края от 28 ноября 2022 г. N 48/1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quot; ------------ Утратил силу или отменен {КонсультантПлюс}">
        <w:r>
          <w:rPr>
            <w:sz w:val="20"/>
            <w:color w:val="0000ff"/>
          </w:rPr>
          <w:t xml:space="preserve">N 40/1</w:t>
        </w:r>
      </w:hyperlink>
      <w:r>
        <w:rPr>
          <w:sz w:val="20"/>
        </w:rPr>
        <w:t xml:space="preserve"> "О внесении изменений в постановление комитета по ценам и тарифам Правительства Хабаровского края от 28 ноября 2022 г. N 48/1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2023 год".</w:t>
      </w:r>
    </w:p>
    <w:p>
      <w:pPr>
        <w:pStyle w:val="0"/>
        <w:spacing w:before="200" w:line-rule="auto"/>
        <w:ind w:firstLine="540"/>
        <w:jc w:val="both"/>
      </w:pPr>
      <w:r>
        <w:rPr>
          <w:sz w:val="20"/>
        </w:rPr>
        <w:t xml:space="preserve">9. Настоящее постановление вступает в силу с 1 января 2024 г.</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А.В.Сидорова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19 декабря 2023 г. N 44/14</w:t>
      </w:r>
    </w:p>
    <w:p>
      <w:pPr>
        <w:pStyle w:val="0"/>
        <w:jc w:val="both"/>
      </w:pPr>
      <w:r>
        <w:rPr>
          <w:sz w:val="20"/>
        </w:rPr>
      </w:r>
    </w:p>
    <w:bookmarkStart w:id="68" w:name="P68"/>
    <w:bookmarkEnd w:id="68"/>
    <w:p>
      <w:pPr>
        <w:pStyle w:val="2"/>
        <w:outlineLvl w:val="1"/>
        <w:jc w:val="center"/>
      </w:pPr>
      <w:r>
        <w:rPr>
          <w:sz w:val="20"/>
        </w:rPr>
        <w:t xml:space="preserve">Стандартизированная тарифная ставка</w:t>
      </w:r>
    </w:p>
    <w:p>
      <w:pPr>
        <w:pStyle w:val="2"/>
        <w:jc w:val="center"/>
      </w:pPr>
      <w:r>
        <w:rPr>
          <w:sz w:val="20"/>
        </w:rPr>
        <w:t xml:space="preserve">на покрытие расходов на технологическое присоединение</w:t>
      </w:r>
    </w:p>
    <w:p>
      <w:pPr>
        <w:pStyle w:val="2"/>
        <w:jc w:val="center"/>
      </w:pPr>
      <w:r>
        <w:rPr>
          <w:sz w:val="20"/>
        </w:rPr>
        <w:t xml:space="preserve">энергопринимающих устройств потребителей электрической</w:t>
      </w:r>
    </w:p>
    <w:p>
      <w:pPr>
        <w:pStyle w:val="2"/>
        <w:jc w:val="center"/>
      </w:pPr>
      <w:r>
        <w:rPr>
          <w:sz w:val="20"/>
        </w:rPr>
        <w:t xml:space="preserve">энергии, объектов электросетевого хозяйства, принадлежащих</w:t>
      </w:r>
    </w:p>
    <w:p>
      <w:pPr>
        <w:pStyle w:val="2"/>
        <w:jc w:val="center"/>
      </w:pPr>
      <w:r>
        <w:rPr>
          <w:sz w:val="20"/>
        </w:rPr>
        <w:t xml:space="preserve">сетевым организациям и иным лицам, по мероприятиям,</w:t>
      </w:r>
    </w:p>
    <w:p>
      <w:pPr>
        <w:pStyle w:val="2"/>
        <w:jc w:val="center"/>
      </w:pPr>
      <w:r>
        <w:rPr>
          <w:sz w:val="20"/>
        </w:rPr>
        <w:t xml:space="preserve">указанным в пункте 16 Методических указаний по определению</w:t>
      </w:r>
    </w:p>
    <w:p>
      <w:pPr>
        <w:pStyle w:val="2"/>
        <w:jc w:val="center"/>
      </w:pPr>
      <w:r>
        <w:rPr>
          <w:sz w:val="20"/>
        </w:rPr>
        <w:t xml:space="preserve">размера платы за технологическое присоединение</w:t>
      </w:r>
    </w:p>
    <w:p>
      <w:pPr>
        <w:pStyle w:val="2"/>
        <w:jc w:val="center"/>
      </w:pPr>
      <w:r>
        <w:rPr>
          <w:sz w:val="20"/>
        </w:rPr>
        <w:t xml:space="preserve">к электрическим сетям, утвержденных Приказом ФАС России</w:t>
      </w:r>
    </w:p>
    <w:p>
      <w:pPr>
        <w:pStyle w:val="2"/>
        <w:jc w:val="center"/>
      </w:pPr>
      <w:r>
        <w:rPr>
          <w:sz w:val="20"/>
        </w:rPr>
        <w:t xml:space="preserve">от 30 июня 2022 г. N 490/22 (кроме подпункта "б")</w:t>
      </w:r>
    </w:p>
    <w:p>
      <w:pPr>
        <w:pStyle w:val="2"/>
        <w:jc w:val="center"/>
      </w:pPr>
      <w:r>
        <w:rPr>
          <w:sz w:val="20"/>
        </w:rPr>
        <w:t xml:space="preserve">С</w:t>
      </w:r>
      <w:r>
        <w:rPr>
          <w:sz w:val="20"/>
          <w:vertAlign w:val="subscript"/>
        </w:rPr>
        <w:t xml:space="preserve">1</w:t>
      </w:r>
      <w:r>
        <w:rPr>
          <w:sz w:val="20"/>
        </w:rPr>
        <w:t xml:space="preserve"> - (руб. за одно присоединение) (без НДС):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531"/>
        <w:gridCol w:w="4025"/>
        <w:gridCol w:w="1757"/>
        <w:gridCol w:w="1134"/>
      </w:tblGrid>
      <w:tr>
        <w:tc>
          <w:tcPr>
            <w:tcW w:w="624" w:type="dxa"/>
            <w:vAlign w:val="center"/>
          </w:tcPr>
          <w:p>
            <w:pPr>
              <w:pStyle w:val="0"/>
              <w:jc w:val="center"/>
            </w:pPr>
            <w:r>
              <w:rPr>
                <w:sz w:val="20"/>
              </w:rPr>
              <w:t xml:space="preserve">N п/п</w:t>
            </w:r>
          </w:p>
        </w:tc>
        <w:tc>
          <w:tcPr>
            <w:tcW w:w="1531" w:type="dxa"/>
            <w:vAlign w:val="center"/>
          </w:tcPr>
          <w:p>
            <w:pPr>
              <w:pStyle w:val="0"/>
              <w:jc w:val="center"/>
            </w:pPr>
            <w:r>
              <w:rPr>
                <w:sz w:val="20"/>
              </w:rPr>
              <w:t xml:space="preserve">Обозначение</w:t>
            </w:r>
          </w:p>
        </w:tc>
        <w:tc>
          <w:tcPr>
            <w:tcW w:w="4025" w:type="dxa"/>
            <w:vAlign w:val="center"/>
          </w:tcPr>
          <w:p>
            <w:pPr>
              <w:pStyle w:val="0"/>
              <w:jc w:val="center"/>
            </w:pPr>
            <w:r>
              <w:rPr>
                <w:sz w:val="20"/>
              </w:rPr>
              <w:t xml:space="preserve">Наименование</w:t>
            </w:r>
          </w:p>
        </w:tc>
        <w:tc>
          <w:tcPr>
            <w:tcW w:w="1757" w:type="dxa"/>
            <w:vAlign w:val="center"/>
          </w:tcPr>
          <w:p>
            <w:pPr>
              <w:pStyle w:val="0"/>
              <w:jc w:val="center"/>
            </w:pPr>
            <w:r>
              <w:rPr>
                <w:sz w:val="20"/>
              </w:rPr>
              <w:t xml:space="preserve">Единица измерения</w:t>
            </w:r>
          </w:p>
        </w:tc>
        <w:tc>
          <w:tcPr>
            <w:tcW w:w="1134" w:type="dxa"/>
            <w:vAlign w:val="center"/>
          </w:tcPr>
          <w:p>
            <w:pPr>
              <w:pStyle w:val="0"/>
              <w:jc w:val="center"/>
            </w:pPr>
            <w:r>
              <w:rPr>
                <w:sz w:val="20"/>
              </w:rPr>
              <w:t xml:space="preserve">Значение</w:t>
            </w:r>
          </w:p>
        </w:tc>
      </w:tr>
      <w:tr>
        <w:tc>
          <w:tcPr>
            <w:tcW w:w="624" w:type="dxa"/>
          </w:tcPr>
          <w:p>
            <w:pPr>
              <w:pStyle w:val="0"/>
              <w:jc w:val="center"/>
            </w:pPr>
            <w:r>
              <w:rPr>
                <w:sz w:val="20"/>
              </w:rPr>
              <w:t xml:space="preserve">1</w:t>
            </w:r>
          </w:p>
        </w:tc>
        <w:tc>
          <w:tcPr>
            <w:tcW w:w="1531" w:type="dxa"/>
          </w:tcPr>
          <w:p>
            <w:pPr>
              <w:pStyle w:val="0"/>
              <w:jc w:val="center"/>
            </w:pPr>
            <w:r>
              <w:rPr>
                <w:sz w:val="20"/>
              </w:rPr>
              <w:t xml:space="preserve">С</w:t>
            </w:r>
            <w:r>
              <w:rPr>
                <w:sz w:val="20"/>
                <w:vertAlign w:val="subscript"/>
              </w:rPr>
              <w:t xml:space="preserve">1</w:t>
            </w:r>
          </w:p>
        </w:tc>
        <w:tc>
          <w:tcPr>
            <w:tcW w:w="4025" w:type="dxa"/>
          </w:tcPr>
          <w:p>
            <w:pPr>
              <w:pStyle w:val="0"/>
              <w:jc w:val="both"/>
            </w:pPr>
            <w:r>
              <w:rPr>
                <w:sz w:val="20"/>
              </w:rP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757" w:type="dxa"/>
          </w:tcPr>
          <w:p>
            <w:pPr>
              <w:pStyle w:val="0"/>
              <w:jc w:val="center"/>
            </w:pPr>
            <w:r>
              <w:rPr>
                <w:sz w:val="20"/>
              </w:rPr>
              <w:t xml:space="preserve">рублей за одно присоединение</w:t>
            </w:r>
          </w:p>
        </w:tc>
        <w:tc>
          <w:tcPr>
            <w:tcW w:w="1134" w:type="dxa"/>
          </w:tcPr>
          <w:p>
            <w:pPr>
              <w:pStyle w:val="0"/>
            </w:pPr>
            <w:r>
              <w:rPr>
                <w:sz w:val="20"/>
              </w:rPr>
            </w:r>
          </w:p>
        </w:tc>
      </w:tr>
      <w:tr>
        <w:tc>
          <w:tcPr>
            <w:tcW w:w="624" w:type="dxa"/>
          </w:tcPr>
          <w:p>
            <w:pPr>
              <w:pStyle w:val="0"/>
              <w:jc w:val="center"/>
            </w:pPr>
            <w:r>
              <w:rPr>
                <w:sz w:val="20"/>
              </w:rPr>
              <w:t xml:space="preserve">1.1</w:t>
            </w:r>
          </w:p>
        </w:tc>
        <w:tc>
          <w:tcPr>
            <w:tcW w:w="1531" w:type="dxa"/>
          </w:tcPr>
          <w:p>
            <w:pPr>
              <w:pStyle w:val="0"/>
              <w:jc w:val="center"/>
            </w:pPr>
            <w:r>
              <w:rPr>
                <w:sz w:val="20"/>
              </w:rPr>
              <w:t xml:space="preserve">С</w:t>
            </w:r>
            <w:r>
              <w:rPr>
                <w:sz w:val="20"/>
                <w:vertAlign w:val="subscript"/>
              </w:rPr>
              <w:t xml:space="preserve">1.1</w:t>
            </w:r>
          </w:p>
        </w:tc>
        <w:tc>
          <w:tcPr>
            <w:tcW w:w="4025" w:type="dxa"/>
          </w:tcPr>
          <w:p>
            <w:pPr>
              <w:pStyle w:val="0"/>
              <w:jc w:val="both"/>
            </w:pPr>
            <w:r>
              <w:rPr>
                <w:sz w:val="20"/>
              </w:rPr>
              <w:t xml:space="preserve">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1757" w:type="dxa"/>
          </w:tcPr>
          <w:p>
            <w:pPr>
              <w:pStyle w:val="0"/>
              <w:jc w:val="center"/>
            </w:pPr>
            <w:r>
              <w:rPr>
                <w:sz w:val="20"/>
              </w:rPr>
              <w:t xml:space="preserve">рублей за одно присоединение</w:t>
            </w:r>
          </w:p>
        </w:tc>
        <w:tc>
          <w:tcPr>
            <w:tcW w:w="1134" w:type="dxa"/>
          </w:tcPr>
          <w:p>
            <w:pPr>
              <w:pStyle w:val="0"/>
              <w:jc w:val="center"/>
            </w:pPr>
            <w:r>
              <w:rPr>
                <w:sz w:val="20"/>
              </w:rPr>
              <w:t xml:space="preserve">15 700</w:t>
            </w:r>
          </w:p>
        </w:tc>
      </w:tr>
      <w:tr>
        <w:tc>
          <w:tcPr>
            <w:tcW w:w="624" w:type="dxa"/>
          </w:tcPr>
          <w:p>
            <w:pPr>
              <w:pStyle w:val="0"/>
              <w:jc w:val="center"/>
            </w:pPr>
            <w:r>
              <w:rPr>
                <w:sz w:val="20"/>
              </w:rPr>
              <w:t xml:space="preserve">1.2.1</w:t>
            </w:r>
          </w:p>
        </w:tc>
        <w:tc>
          <w:tcPr>
            <w:tcW w:w="1531" w:type="dxa"/>
          </w:tcPr>
          <w:p>
            <w:pPr>
              <w:pStyle w:val="0"/>
              <w:jc w:val="center"/>
            </w:pPr>
            <w:r>
              <w:rPr>
                <w:sz w:val="20"/>
              </w:rPr>
              <w:t xml:space="preserve">С</w:t>
            </w:r>
            <w:r>
              <w:rPr>
                <w:sz w:val="20"/>
                <w:vertAlign w:val="subscript"/>
              </w:rPr>
              <w:t xml:space="preserve">1.2.1</w:t>
            </w:r>
          </w:p>
        </w:tc>
        <w:tc>
          <w:tcPr>
            <w:tcW w:w="4025" w:type="dxa"/>
          </w:tcPr>
          <w:p>
            <w:pPr>
              <w:pStyle w:val="0"/>
              <w:jc w:val="both"/>
            </w:pPr>
            <w:r>
              <w:rPr>
                <w:sz w:val="20"/>
              </w:rPr>
              <w:t xml:space="preserve">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 указанным в абзаце шестом </w:t>
            </w:r>
            <w:hyperlink w:history="0" r:id="rId53"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tcPr>
          <w:p>
            <w:pPr>
              <w:pStyle w:val="0"/>
              <w:jc w:val="center"/>
            </w:pPr>
            <w:r>
              <w:rPr>
                <w:sz w:val="20"/>
              </w:rPr>
              <w:t xml:space="preserve">рублей за одно присоединение</w:t>
            </w:r>
          </w:p>
        </w:tc>
        <w:tc>
          <w:tcPr>
            <w:tcW w:w="1134" w:type="dxa"/>
          </w:tcPr>
          <w:p>
            <w:pPr>
              <w:pStyle w:val="0"/>
              <w:jc w:val="center"/>
            </w:pPr>
            <w:r>
              <w:rPr>
                <w:sz w:val="20"/>
              </w:rPr>
              <w:t xml:space="preserve">10 070</w:t>
            </w:r>
          </w:p>
        </w:tc>
      </w:tr>
      <w:tr>
        <w:tc>
          <w:tcPr>
            <w:tcW w:w="624" w:type="dxa"/>
          </w:tcPr>
          <w:p>
            <w:pPr>
              <w:pStyle w:val="0"/>
              <w:jc w:val="center"/>
            </w:pPr>
            <w:r>
              <w:rPr>
                <w:sz w:val="20"/>
              </w:rPr>
              <w:t xml:space="preserve">1.2.2</w:t>
            </w:r>
          </w:p>
        </w:tc>
        <w:tc>
          <w:tcPr>
            <w:tcW w:w="1531" w:type="dxa"/>
          </w:tcPr>
          <w:p>
            <w:pPr>
              <w:pStyle w:val="0"/>
              <w:jc w:val="center"/>
            </w:pPr>
            <w:r>
              <w:rPr>
                <w:sz w:val="20"/>
              </w:rPr>
              <w:t xml:space="preserve">С</w:t>
            </w:r>
            <w:r>
              <w:rPr>
                <w:sz w:val="20"/>
                <w:vertAlign w:val="subscript"/>
              </w:rPr>
              <w:t xml:space="preserve">1.2.2</w:t>
            </w:r>
          </w:p>
        </w:tc>
        <w:tc>
          <w:tcPr>
            <w:tcW w:w="4025" w:type="dxa"/>
          </w:tcPr>
          <w:p>
            <w:pPr>
              <w:pStyle w:val="0"/>
              <w:jc w:val="both"/>
            </w:pPr>
            <w:r>
              <w:rPr>
                <w:sz w:val="20"/>
              </w:rPr>
              <w:t xml:space="preserve">стандартизированная тарифная ставка на покрытие расходов на проверку выполнения технических условий Заявителями, указанными в абзаце седьмом </w:t>
            </w:r>
            <w:hyperlink w:history="0" r:id="rId54"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tcPr>
          <w:p>
            <w:pPr>
              <w:pStyle w:val="0"/>
              <w:jc w:val="center"/>
            </w:pPr>
            <w:r>
              <w:rPr>
                <w:sz w:val="20"/>
              </w:rPr>
              <w:t xml:space="preserve">рублей за одно присоединение</w:t>
            </w:r>
          </w:p>
        </w:tc>
        <w:tc>
          <w:tcPr>
            <w:tcW w:w="1134" w:type="dxa"/>
          </w:tcPr>
          <w:p>
            <w:pPr>
              <w:pStyle w:val="0"/>
              <w:jc w:val="center"/>
            </w:pPr>
            <w:r>
              <w:rPr>
                <w:sz w:val="20"/>
              </w:rPr>
              <w:t xml:space="preserve">13 040</w:t>
            </w:r>
          </w:p>
        </w:tc>
      </w:tr>
    </w:tbl>
    <w:p>
      <w:pPr>
        <w:pStyle w:val="0"/>
        <w:jc w:val="both"/>
      </w:pPr>
      <w:r>
        <w:rPr>
          <w:sz w:val="20"/>
        </w:rPr>
      </w:r>
    </w:p>
    <w:p>
      <w:pPr>
        <w:pStyle w:val="2"/>
        <w:outlineLvl w:val="1"/>
        <w:jc w:val="center"/>
      </w:pPr>
      <w:r>
        <w:rPr>
          <w:sz w:val="20"/>
        </w:rPr>
        <w:t xml:space="preserve">Стандартизированные тарифные ставки</w:t>
      </w:r>
    </w:p>
    <w:p>
      <w:pPr>
        <w:pStyle w:val="2"/>
        <w:jc w:val="center"/>
      </w:pPr>
      <w:r>
        <w:rPr>
          <w:sz w:val="20"/>
        </w:rPr>
        <w:t xml:space="preserve">за технологическое присоединение энергопринимающих устройств</w:t>
      </w:r>
    </w:p>
    <w:p>
      <w:pPr>
        <w:pStyle w:val="2"/>
        <w:jc w:val="center"/>
      </w:pPr>
      <w:r>
        <w:rPr>
          <w:sz w:val="20"/>
        </w:rPr>
        <w:t xml:space="preserve">потребителей к электрическим сетям территориальных сетевых</w:t>
      </w:r>
    </w:p>
    <w:p>
      <w:pPr>
        <w:pStyle w:val="2"/>
        <w:jc w:val="center"/>
      </w:pPr>
      <w:r>
        <w:rPr>
          <w:sz w:val="20"/>
        </w:rPr>
        <w:t xml:space="preserve">организаций на территории Хабаровского края на 2024 год</w:t>
      </w:r>
    </w:p>
    <w:p>
      <w:pPr>
        <w:pStyle w:val="2"/>
        <w:jc w:val="center"/>
      </w:pPr>
      <w:r>
        <w:rPr>
          <w:sz w:val="20"/>
        </w:rPr>
        <w:t xml:space="preserve">(без НДС):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в таблице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474"/>
        <w:gridCol w:w="3402"/>
        <w:gridCol w:w="1304"/>
        <w:gridCol w:w="1531"/>
      </w:tblGrid>
      <w:tr>
        <w:tc>
          <w:tcPr>
            <w:tcW w:w="1361" w:type="dxa"/>
            <w:vAlign w:val="center"/>
          </w:tcPr>
          <w:p>
            <w:pPr>
              <w:pStyle w:val="0"/>
              <w:jc w:val="center"/>
            </w:pPr>
            <w:r>
              <w:rPr>
                <w:sz w:val="20"/>
              </w:rPr>
              <w:t xml:space="preserve">N п/п</w:t>
            </w:r>
          </w:p>
        </w:tc>
        <w:tc>
          <w:tcPr>
            <w:tcW w:w="1474" w:type="dxa"/>
            <w:vAlign w:val="center"/>
          </w:tcPr>
          <w:p>
            <w:pPr>
              <w:pStyle w:val="0"/>
              <w:jc w:val="center"/>
            </w:pPr>
            <w:r>
              <w:rPr>
                <w:sz w:val="20"/>
              </w:rPr>
              <w:t xml:space="preserve">Обозначение</w:t>
            </w:r>
          </w:p>
        </w:tc>
        <w:tc>
          <w:tcPr>
            <w:tcW w:w="3402" w:type="dxa"/>
            <w:vAlign w:val="center"/>
          </w:tcPr>
          <w:p>
            <w:pPr>
              <w:pStyle w:val="0"/>
              <w:jc w:val="center"/>
            </w:pPr>
            <w:r>
              <w:rPr>
                <w:sz w:val="20"/>
              </w:rPr>
              <w:t xml:space="preserve">Наименование</w:t>
            </w:r>
          </w:p>
        </w:tc>
        <w:tc>
          <w:tcPr>
            <w:tcW w:w="1304" w:type="dxa"/>
            <w:vAlign w:val="center"/>
          </w:tcPr>
          <w:p>
            <w:pPr>
              <w:pStyle w:val="0"/>
              <w:jc w:val="center"/>
            </w:pPr>
            <w:r>
              <w:rPr>
                <w:sz w:val="20"/>
              </w:rPr>
              <w:t xml:space="preserve">Единица измерения</w:t>
            </w:r>
          </w:p>
        </w:tc>
        <w:tc>
          <w:tcPr>
            <w:tcW w:w="1531" w:type="dxa"/>
            <w:vAlign w:val="center"/>
          </w:tcPr>
          <w:p>
            <w:pPr>
              <w:pStyle w:val="0"/>
              <w:jc w:val="center"/>
            </w:pPr>
            <w:r>
              <w:rPr>
                <w:sz w:val="20"/>
              </w:rPr>
              <w:t xml:space="preserve">2024 год</w:t>
            </w:r>
          </w:p>
        </w:tc>
      </w:tr>
      <w:tr>
        <w:tc>
          <w:tcPr>
            <w:tcW w:w="1361" w:type="dxa"/>
          </w:tcPr>
          <w:p>
            <w:pPr>
              <w:pStyle w:val="0"/>
              <w:jc w:val="center"/>
            </w:pPr>
            <w:r>
              <w:rPr>
                <w:sz w:val="20"/>
              </w:rPr>
              <w:t xml:space="preserve">2.1.1.3.1.1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деревянных опорах изолированным сталеалюминиевым проводом сечением до 50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633 774,24</w:t>
            </w:r>
          </w:p>
        </w:tc>
      </w:tr>
      <w:tr>
        <w:tc>
          <w:tcPr>
            <w:tcW w:w="1361" w:type="dxa"/>
          </w:tcPr>
          <w:p>
            <w:pPr>
              <w:pStyle w:val="0"/>
              <w:jc w:val="center"/>
            </w:pPr>
            <w:r>
              <w:rPr>
                <w:sz w:val="20"/>
              </w:rPr>
              <w:t xml:space="preserve">2.1.1.3.3.1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деревянных опорах изолированным сталеалюминиевым проводом сечением от 100 до 200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968 297,07</w:t>
            </w:r>
          </w:p>
        </w:tc>
      </w:tr>
      <w:tr>
        <w:tc>
          <w:tcPr>
            <w:tcW w:w="1361" w:type="dxa"/>
          </w:tcPr>
          <w:p>
            <w:pPr>
              <w:pStyle w:val="0"/>
              <w:jc w:val="center"/>
            </w:pPr>
            <w:r>
              <w:rPr>
                <w:sz w:val="20"/>
              </w:rPr>
              <w:t xml:space="preserve">2.1.1.4.1.1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деревянных опорах изолированным алюминиевым проводом сечением до 50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719 280</w:t>
            </w:r>
          </w:p>
        </w:tc>
      </w:tr>
      <w:tr>
        <w:tc>
          <w:tcPr>
            <w:tcW w:w="1361" w:type="dxa"/>
          </w:tcPr>
          <w:p>
            <w:pPr>
              <w:pStyle w:val="0"/>
              <w:jc w:val="center"/>
            </w:pPr>
            <w:r>
              <w:rPr>
                <w:sz w:val="20"/>
              </w:rPr>
              <w:t xml:space="preserve">2.1.1.4.2.1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деревянных опорах изолированным алюминиевым проводом сечением от 50 до 100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784 680</w:t>
            </w:r>
          </w:p>
        </w:tc>
      </w:tr>
      <w:tr>
        <w:tc>
          <w:tcPr>
            <w:tcW w:w="1361" w:type="dxa"/>
          </w:tcPr>
          <w:p>
            <w:pPr>
              <w:pStyle w:val="0"/>
              <w:jc w:val="center"/>
            </w:pPr>
            <w:r>
              <w:rPr>
                <w:sz w:val="20"/>
              </w:rPr>
              <w:t xml:space="preserve">2.1.1.4.3.1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деревянных опорах изолированным алюминиевым проводом сечением от 100 до 200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1 104 915,60</w:t>
            </w:r>
          </w:p>
        </w:tc>
      </w:tr>
      <w:tr>
        <w:tc>
          <w:tcPr>
            <w:tcW w:w="1361" w:type="dxa"/>
          </w:tcPr>
          <w:p>
            <w:pPr>
              <w:pStyle w:val="0"/>
              <w:jc w:val="center"/>
            </w:pPr>
            <w:r>
              <w:rPr>
                <w:sz w:val="20"/>
              </w:rPr>
              <w:t xml:space="preserve">2.2.2.3.3.2.1</w:t>
            </w:r>
          </w:p>
        </w:tc>
        <w:tc>
          <w:tcPr>
            <w:tcW w:w="1474" w:type="dxa"/>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металлических опорах, за исключением многогранных, неизолированным сталеалюминиевым проводом сечением от 100 до 200 квадратных мм включительно двухцепные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24 355 054,29</w:t>
            </w:r>
          </w:p>
        </w:tc>
      </w:tr>
      <w:tr>
        <w:tc>
          <w:tcPr>
            <w:tcW w:w="1361" w:type="dxa"/>
          </w:tcPr>
          <w:p>
            <w:pPr>
              <w:pStyle w:val="0"/>
              <w:jc w:val="center"/>
            </w:pPr>
            <w:r>
              <w:rPr>
                <w:sz w:val="20"/>
              </w:rPr>
              <w:t xml:space="preserve">2.2.2.4.3.1.2</w:t>
            </w:r>
          </w:p>
        </w:tc>
        <w:tc>
          <w:tcPr>
            <w:tcW w:w="1474" w:type="dxa"/>
          </w:tcPr>
          <w:p>
            <w:pPr>
              <w:pStyle w:val="0"/>
              <w:jc w:val="center"/>
            </w:pPr>
            <w:r>
              <w:rPr>
                <w:position w:val="-8"/>
              </w:rPr>
              <w:drawing>
                <wp:inline distT="0" distB="0" distL="0" distR="0">
                  <wp:extent cx="6572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многогранных металлических опорах неизолированным алюминиевым проводом сечением от 100 до 200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14 004 792,51</w:t>
            </w:r>
          </w:p>
        </w:tc>
      </w:tr>
      <w:tr>
        <w:tc>
          <w:tcPr>
            <w:tcW w:w="1361" w:type="dxa"/>
            <w:vMerge w:val="restart"/>
          </w:tcPr>
          <w:p>
            <w:pPr>
              <w:pStyle w:val="0"/>
              <w:jc w:val="center"/>
            </w:pPr>
            <w:r>
              <w:rPr>
                <w:sz w:val="20"/>
              </w:rPr>
              <w:t xml:space="preserve">2.3.1.3.1.1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vMerge w:val="restart"/>
          </w:tcPr>
          <w:p>
            <w:pPr>
              <w:pStyle w:val="0"/>
            </w:pPr>
            <w:r>
              <w:rPr>
                <w:sz w:val="20"/>
              </w:rPr>
              <w:t xml:space="preserve">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1 606 010</w:t>
            </w:r>
          </w:p>
        </w:tc>
      </w:tr>
      <w:tr>
        <w:tc>
          <w:tcPr>
            <w:vMerge w:val="continue"/>
          </w:tcPr>
          <w:p/>
        </w:tc>
        <w:tc>
          <w:tcPr>
            <w:tcW w:w="1474" w:type="dxa"/>
          </w:tcPr>
          <w:p>
            <w:pPr>
              <w:pStyle w:val="0"/>
              <w:jc w:val="center"/>
            </w:pPr>
            <w:r>
              <w:rPr>
                <w:position w:val="-8"/>
              </w:rPr>
              <w:drawing>
                <wp:inline distT="0" distB="0" distL="0" distR="0">
                  <wp:extent cx="5238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2 404 260</w:t>
            </w:r>
          </w:p>
        </w:tc>
      </w:tr>
      <w:tr>
        <w:tc>
          <w:tcPr>
            <w:tcW w:w="1361" w:type="dxa"/>
            <w:vMerge w:val="restart"/>
          </w:tcPr>
          <w:p>
            <w:pPr>
              <w:pStyle w:val="0"/>
              <w:jc w:val="center"/>
            </w:pPr>
            <w:r>
              <w:rPr>
                <w:sz w:val="20"/>
              </w:rPr>
              <w:t xml:space="preserve">2.3.1.3.2.1</w:t>
            </w:r>
          </w:p>
        </w:tc>
        <w:tc>
          <w:tcPr>
            <w:tcW w:w="1474" w:type="dxa"/>
          </w:tcPr>
          <w:p>
            <w:pPr>
              <w:pStyle w:val="0"/>
              <w:jc w:val="center"/>
            </w:pPr>
            <w:r>
              <w:rPr>
                <w:position w:val="-8"/>
              </w:rPr>
              <w:drawing>
                <wp:inline distT="0" distB="0" distL="0" distR="0">
                  <wp:extent cx="5238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402" w:type="dxa"/>
            <w:vMerge w:val="restart"/>
          </w:tcPr>
          <w:p>
            <w:pPr>
              <w:pStyle w:val="0"/>
            </w:pPr>
            <w:r>
              <w:rPr>
                <w:sz w:val="20"/>
              </w:rPr>
              <w:t xml:space="preserve">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1719 940</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1 653 100</w:t>
            </w:r>
          </w:p>
        </w:tc>
      </w:tr>
      <w:tr>
        <w:tc>
          <w:tcPr>
            <w:tcW w:w="1361" w:type="dxa"/>
          </w:tcPr>
          <w:p>
            <w:pPr>
              <w:pStyle w:val="0"/>
              <w:jc w:val="center"/>
            </w:pPr>
            <w:r>
              <w:rPr>
                <w:sz w:val="20"/>
              </w:rPr>
              <w:t xml:space="preserve">2.3.1.3.3.1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железобетонных опорах изолированным сталеалюминиевым проводом сечением от 100 до 200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2 064 610</w:t>
            </w:r>
          </w:p>
        </w:tc>
      </w:tr>
      <w:tr>
        <w:tc>
          <w:tcPr>
            <w:tcW w:w="1361" w:type="dxa"/>
          </w:tcPr>
          <w:p>
            <w:pPr>
              <w:pStyle w:val="0"/>
              <w:jc w:val="center"/>
            </w:pPr>
            <w:r>
              <w:rPr>
                <w:sz w:val="20"/>
              </w:rPr>
              <w:t xml:space="preserve">2.3.2.3.2.1</w:t>
            </w:r>
          </w:p>
        </w:tc>
        <w:tc>
          <w:tcPr>
            <w:tcW w:w="1474" w:type="dxa"/>
          </w:tcPr>
          <w:p>
            <w:pPr>
              <w:pStyle w:val="0"/>
              <w:jc w:val="center"/>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p>
        </w:tc>
        <w:tc>
          <w:tcPr>
            <w:tcW w:w="3402" w:type="dxa"/>
          </w:tcPr>
          <w:p>
            <w:pPr>
              <w:pStyle w:val="0"/>
            </w:pPr>
            <w:r>
              <w:rPr>
                <w:sz w:val="20"/>
              </w:rPr>
              <w:t xml:space="preserve">воздушные линии на железобетонных опорах неизолированным сталеалюминиевым проводом сечением от 50 до 100 квадратных мм включительно одноцепные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14 184 296,80</w:t>
            </w:r>
          </w:p>
        </w:tc>
      </w:tr>
      <w:tr>
        <w:tc>
          <w:tcPr>
            <w:tcW w:w="1361" w:type="dxa"/>
          </w:tcPr>
          <w:p>
            <w:pPr>
              <w:pStyle w:val="0"/>
              <w:jc w:val="center"/>
            </w:pPr>
            <w:r>
              <w:rPr>
                <w:sz w:val="20"/>
              </w:rPr>
              <w:t xml:space="preserve">3.1.2.1.1.1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2 395 467,12</w:t>
            </w:r>
          </w:p>
        </w:tc>
      </w:tr>
      <w:tr>
        <w:tc>
          <w:tcPr>
            <w:tcW w:w="1361" w:type="dxa"/>
          </w:tcPr>
          <w:p>
            <w:pPr>
              <w:pStyle w:val="0"/>
              <w:jc w:val="center"/>
            </w:pPr>
            <w:r>
              <w:rPr>
                <w:sz w:val="20"/>
              </w:rPr>
              <w:t xml:space="preserve">3.1.2.1.2.1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2 218 631,18</w:t>
            </w:r>
          </w:p>
        </w:tc>
      </w:tr>
      <w:tr>
        <w:tc>
          <w:tcPr>
            <w:tcW w:w="1361" w:type="dxa"/>
          </w:tcPr>
          <w:p>
            <w:pPr>
              <w:pStyle w:val="0"/>
              <w:jc w:val="center"/>
            </w:pPr>
            <w:r>
              <w:rPr>
                <w:sz w:val="20"/>
              </w:rPr>
              <w:t xml:space="preserve">3.1.2.1.3.1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2 663 676,03</w:t>
            </w:r>
          </w:p>
        </w:tc>
      </w:tr>
      <w:tr>
        <w:tc>
          <w:tcPr>
            <w:tcW w:w="1361" w:type="dxa"/>
          </w:tcPr>
          <w:p>
            <w:pPr>
              <w:pStyle w:val="0"/>
              <w:jc w:val="center"/>
            </w:pPr>
            <w:r>
              <w:rPr>
                <w:sz w:val="20"/>
              </w:rPr>
              <w:t xml:space="preserve">3.1.2.2.1.1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1 789 044,33</w:t>
            </w:r>
          </w:p>
        </w:tc>
      </w:tr>
      <w:tr>
        <w:tc>
          <w:tcPr>
            <w:tcW w:w="1361" w:type="dxa"/>
            <w:vMerge w:val="restart"/>
          </w:tcPr>
          <w:p>
            <w:pPr>
              <w:pStyle w:val="0"/>
              <w:jc w:val="center"/>
            </w:pPr>
            <w:r>
              <w:rPr>
                <w:sz w:val="20"/>
              </w:rPr>
              <w:t xml:space="preserve">3.1.2.2.2.1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2 944 621,64</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1 958 150,72</w:t>
            </w:r>
          </w:p>
        </w:tc>
      </w:tr>
      <w:tr>
        <w:tc>
          <w:tcPr>
            <w:tcW w:w="1361" w:type="dxa"/>
            <w:vMerge w:val="restart"/>
          </w:tcPr>
          <w:p>
            <w:pPr>
              <w:pStyle w:val="0"/>
              <w:jc w:val="center"/>
            </w:pPr>
            <w:r>
              <w:rPr>
                <w:sz w:val="20"/>
              </w:rPr>
              <w:t xml:space="preserve">3.1.2.2.3.1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2 873 527,65</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2 459 849,52</w:t>
            </w:r>
          </w:p>
        </w:tc>
      </w:tr>
      <w:tr>
        <w:tc>
          <w:tcPr>
            <w:tcW w:w="1361" w:type="dxa"/>
          </w:tcPr>
          <w:p>
            <w:pPr>
              <w:pStyle w:val="0"/>
              <w:jc w:val="center"/>
            </w:pPr>
            <w:r>
              <w:rPr>
                <w:sz w:val="20"/>
              </w:rPr>
              <w:t xml:space="preserve">3.1.2.2.3.5</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бумажной изоляцией сечением провода от 100 до 200 квадратных мм включительно с количеством кабелей в траншее более четырех</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11 152 995,58</w:t>
            </w:r>
          </w:p>
        </w:tc>
      </w:tr>
      <w:tr>
        <w:tc>
          <w:tcPr>
            <w:tcW w:w="1361" w:type="dxa"/>
            <w:vMerge w:val="restart"/>
          </w:tcPr>
          <w:p>
            <w:pPr>
              <w:pStyle w:val="0"/>
              <w:jc w:val="center"/>
            </w:pPr>
            <w:r>
              <w:rPr>
                <w:sz w:val="20"/>
              </w:rPr>
              <w:t xml:space="preserve">3.1.2.2.4.1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3 271 941,26</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3 553 575,37</w:t>
            </w:r>
          </w:p>
        </w:tc>
      </w:tr>
      <w:tr>
        <w:tc>
          <w:tcPr>
            <w:tcW w:w="1361" w:type="dxa"/>
          </w:tcPr>
          <w:p>
            <w:pPr>
              <w:pStyle w:val="0"/>
              <w:jc w:val="center"/>
            </w:pPr>
            <w:r>
              <w:rPr>
                <w:sz w:val="20"/>
              </w:rPr>
              <w:t xml:space="preserve">3.1.2.2.4.2</w:t>
            </w:r>
          </w:p>
        </w:tc>
        <w:tc>
          <w:tcPr>
            <w:tcW w:w="1474" w:type="dxa"/>
          </w:tcPr>
          <w:p>
            <w:pPr>
              <w:pStyle w:val="0"/>
              <w:jc w:val="center"/>
            </w:pPr>
            <w:r>
              <w:rPr>
                <w:position w:val="-8"/>
              </w:rPr>
              <w:drawing>
                <wp:inline distT="0" distB="0" distL="0" distR="0">
                  <wp:extent cx="5238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6 014 563,28</w:t>
            </w:r>
          </w:p>
        </w:tc>
      </w:tr>
      <w:tr>
        <w:tc>
          <w:tcPr>
            <w:tcW w:w="1361" w:type="dxa"/>
          </w:tcPr>
          <w:p>
            <w:pPr>
              <w:pStyle w:val="0"/>
              <w:jc w:val="center"/>
            </w:pPr>
            <w:r>
              <w:rPr>
                <w:sz w:val="20"/>
              </w:rPr>
              <w:t xml:space="preserve">3.1.2.2.4.5</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траншеях многожильные с бумажной изоляцией сечением провода от 200 до 250 квадратных мм включительно с количеством кабелей в траншее более четырех</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13 621 639,20</w:t>
            </w:r>
          </w:p>
        </w:tc>
      </w:tr>
      <w:tr>
        <w:tc>
          <w:tcPr>
            <w:tcW w:w="1361" w:type="dxa"/>
          </w:tcPr>
          <w:p>
            <w:pPr>
              <w:pStyle w:val="0"/>
              <w:jc w:val="center"/>
            </w:pPr>
            <w:r>
              <w:rPr>
                <w:sz w:val="20"/>
              </w:rPr>
              <w:t xml:space="preserve">3.2.1.1.3.1</w:t>
            </w:r>
          </w:p>
        </w:tc>
        <w:tc>
          <w:tcPr>
            <w:tcW w:w="1474" w:type="dxa"/>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блоках одножильные с резиновой или пластмассовой изоляцией сечением провода от 100 до 200 квадратных мм включительно с одним кабелем в блоке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29 682 648,90</w:t>
            </w:r>
          </w:p>
        </w:tc>
      </w:tr>
      <w:tr>
        <w:tc>
          <w:tcPr>
            <w:tcW w:w="1361" w:type="dxa"/>
          </w:tcPr>
          <w:p>
            <w:pPr>
              <w:pStyle w:val="0"/>
              <w:jc w:val="center"/>
            </w:pPr>
            <w:r>
              <w:rPr>
                <w:sz w:val="20"/>
              </w:rPr>
              <w:t xml:space="preserve">3.2.1.1.5.1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блоках одножильные с резиновой или пластмассовой изоляцией сечением провода от 250 до 300 квадратных мм включительно с одним кабелем в блоке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18 752 452,33</w:t>
            </w:r>
          </w:p>
        </w:tc>
      </w:tr>
      <w:tr>
        <w:tc>
          <w:tcPr>
            <w:tcW w:w="1361" w:type="dxa"/>
          </w:tcPr>
          <w:p>
            <w:pPr>
              <w:pStyle w:val="0"/>
              <w:jc w:val="center"/>
            </w:pPr>
            <w:r>
              <w:rPr>
                <w:sz w:val="20"/>
              </w:rPr>
              <w:t xml:space="preserve">3.2.2.2.1.1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в блоках многожильные с бумажной изоляцией сечением провода до 50 квадратных мм включительно с одним кабелем в блоке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8 793 333,39</w:t>
            </w:r>
          </w:p>
        </w:tc>
      </w:tr>
      <w:tr>
        <w:tc>
          <w:tcPr>
            <w:tcW w:w="1361" w:type="dxa"/>
            <w:vMerge w:val="restart"/>
          </w:tcPr>
          <w:p>
            <w:pPr>
              <w:pStyle w:val="0"/>
              <w:jc w:val="center"/>
            </w:pPr>
            <w:r>
              <w:rPr>
                <w:sz w:val="20"/>
              </w:rPr>
              <w:t xml:space="preserve">3.2.2.2.3.1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блоках многожильные с бумажной изоляцией сечением провода от 100 до 200 квадратных мм включительно с одним кабелем в блоке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4 503 477,41</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17 252 784,51</w:t>
            </w:r>
          </w:p>
        </w:tc>
      </w:tr>
      <w:tr>
        <w:tc>
          <w:tcPr>
            <w:tcW w:w="1361" w:type="dxa"/>
            <w:vMerge w:val="restart"/>
          </w:tcPr>
          <w:p>
            <w:pPr>
              <w:pStyle w:val="0"/>
              <w:jc w:val="center"/>
            </w:pPr>
            <w:r>
              <w:rPr>
                <w:sz w:val="20"/>
              </w:rPr>
              <w:t xml:space="preserve">3.2.2.2.3.2</w:t>
            </w:r>
          </w:p>
        </w:tc>
        <w:tc>
          <w:tcPr>
            <w:tcW w:w="1474" w:type="dxa"/>
          </w:tcPr>
          <w:p>
            <w:pPr>
              <w:pStyle w:val="0"/>
              <w:jc w:val="center"/>
            </w:pPr>
            <w:r>
              <w:rPr>
                <w:position w:val="-8"/>
              </w:rPr>
              <w:drawing>
                <wp:inline distT="0" distB="0" distL="0" distR="0">
                  <wp:extent cx="5238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блоках многожильные с бумажной изоляцией сечением провода от 100 до 200 квадратных мм включительно с двумя кабелями в блоке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11 527 113,08</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18 232 714,86</w:t>
            </w:r>
          </w:p>
        </w:tc>
      </w:tr>
      <w:tr>
        <w:tc>
          <w:tcPr>
            <w:tcW w:w="1361" w:type="dxa"/>
            <w:vMerge w:val="restart"/>
          </w:tcPr>
          <w:p>
            <w:pPr>
              <w:pStyle w:val="0"/>
              <w:jc w:val="center"/>
            </w:pPr>
            <w:r>
              <w:rPr>
                <w:sz w:val="20"/>
              </w:rPr>
              <w:t xml:space="preserve">3.2.2.2.4.1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в блоках многожильные с бумажной изоляцией сечением провода от 200 до 250 квадратных мм включительно с одним кабелем в блоке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5 051 358,25</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17 576 650,88</w:t>
            </w:r>
          </w:p>
        </w:tc>
      </w:tr>
      <w:tr>
        <w:tc>
          <w:tcPr>
            <w:tcW w:w="1361" w:type="dxa"/>
          </w:tcPr>
          <w:p>
            <w:pPr>
              <w:pStyle w:val="0"/>
              <w:jc w:val="center"/>
            </w:pPr>
            <w:r>
              <w:rPr>
                <w:sz w:val="20"/>
              </w:rPr>
              <w:t xml:space="preserve">3.6.1.1.1.1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одной трубой в скважине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19 659 082,73</w:t>
            </w:r>
          </w:p>
        </w:tc>
      </w:tr>
      <w:tr>
        <w:tc>
          <w:tcPr>
            <w:tcW w:w="1361" w:type="dxa"/>
          </w:tcPr>
          <w:p>
            <w:pPr>
              <w:pStyle w:val="0"/>
              <w:jc w:val="center"/>
            </w:pPr>
            <w:r>
              <w:rPr>
                <w:sz w:val="20"/>
              </w:rPr>
              <w:t xml:space="preserve">3.6.2.2.2.1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20 681 398,11</w:t>
            </w:r>
          </w:p>
        </w:tc>
      </w:tr>
      <w:tr>
        <w:tc>
          <w:tcPr>
            <w:tcW w:w="1361" w:type="dxa"/>
            <w:vMerge w:val="restart"/>
          </w:tcPr>
          <w:p>
            <w:pPr>
              <w:pStyle w:val="0"/>
              <w:jc w:val="center"/>
            </w:pPr>
            <w:r>
              <w:rPr>
                <w:sz w:val="20"/>
              </w:rPr>
              <w:t xml:space="preserve">3.6.2.2.3.1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20 819 299,32</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17 046 615,49</w:t>
            </w:r>
          </w:p>
        </w:tc>
      </w:tr>
      <w:tr>
        <w:tc>
          <w:tcPr>
            <w:tcW w:w="1361" w:type="dxa"/>
          </w:tcPr>
          <w:p>
            <w:pPr>
              <w:pStyle w:val="0"/>
              <w:jc w:val="center"/>
            </w:pPr>
            <w:r>
              <w:rPr>
                <w:sz w:val="20"/>
              </w:rPr>
              <w:t xml:space="preserve">3.6.2.2.3.2</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304" w:type="dxa"/>
          </w:tcPr>
          <w:p>
            <w:pPr>
              <w:pStyle w:val="0"/>
              <w:jc w:val="center"/>
            </w:pPr>
            <w:r>
              <w:rPr>
                <w:sz w:val="20"/>
              </w:rPr>
              <w:t xml:space="preserve">рублей/км</w:t>
            </w:r>
          </w:p>
        </w:tc>
        <w:tc>
          <w:tcPr>
            <w:tcW w:w="1531" w:type="dxa"/>
          </w:tcPr>
          <w:p>
            <w:pPr>
              <w:pStyle w:val="0"/>
              <w:jc w:val="center"/>
            </w:pPr>
            <w:r>
              <w:rPr>
                <w:sz w:val="20"/>
              </w:rPr>
              <w:t xml:space="preserve">16 021 255,16</w:t>
            </w:r>
          </w:p>
        </w:tc>
      </w:tr>
      <w:tr>
        <w:tc>
          <w:tcPr>
            <w:tcW w:w="1361" w:type="dxa"/>
            <w:vMerge w:val="restart"/>
          </w:tcPr>
          <w:p>
            <w:pPr>
              <w:pStyle w:val="0"/>
              <w:jc w:val="center"/>
            </w:pPr>
            <w:r>
              <w:rPr>
                <w:sz w:val="20"/>
              </w:rPr>
              <w:t xml:space="preserve">3.6.2.2.4.1</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vMerge w:val="restart"/>
          </w:tcPr>
          <w:p>
            <w:pPr>
              <w:pStyle w:val="0"/>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304" w:type="dxa"/>
            <w:vMerge w:val="restart"/>
          </w:tcPr>
          <w:p>
            <w:pPr>
              <w:pStyle w:val="0"/>
              <w:jc w:val="center"/>
            </w:pPr>
            <w:r>
              <w:rPr>
                <w:sz w:val="20"/>
              </w:rPr>
              <w:t xml:space="preserve">рублей/км</w:t>
            </w:r>
          </w:p>
        </w:tc>
        <w:tc>
          <w:tcPr>
            <w:tcW w:w="1531" w:type="dxa"/>
          </w:tcPr>
          <w:p>
            <w:pPr>
              <w:pStyle w:val="0"/>
              <w:jc w:val="center"/>
            </w:pPr>
            <w:r>
              <w:rPr>
                <w:sz w:val="20"/>
              </w:rPr>
              <w:t xml:space="preserve">17 367 419,38</w:t>
            </w:r>
          </w:p>
        </w:tc>
      </w:tr>
      <w:tr>
        <w:tc>
          <w:tcPr>
            <w:vMerge w:val="continue"/>
          </w:tcP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17 612 648,47</w:t>
            </w:r>
          </w:p>
        </w:tc>
      </w:tr>
      <w:tr>
        <w:tc>
          <w:tcPr>
            <w:tcW w:w="1361" w:type="dxa"/>
          </w:tcPr>
          <w:p>
            <w:pPr>
              <w:pStyle w:val="0"/>
              <w:jc w:val="center"/>
            </w:pPr>
            <w:r>
              <w:rPr>
                <w:sz w:val="20"/>
              </w:rPr>
              <w:t xml:space="preserve">4.1.2</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реклоузеры номинальным током от 100 до 250 А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2 774 244,14</w:t>
            </w:r>
          </w:p>
        </w:tc>
      </w:tr>
      <w:tr>
        <w:tc>
          <w:tcPr>
            <w:tcW w:w="1361" w:type="dxa"/>
          </w:tcPr>
          <w:p>
            <w:pPr>
              <w:pStyle w:val="0"/>
              <w:jc w:val="center"/>
            </w:pPr>
            <w:r>
              <w:rPr>
                <w:sz w:val="20"/>
              </w:rPr>
              <w:t xml:space="preserve">4.2.1</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линейные разъединители номинальным током до 100 А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104 478,07</w:t>
            </w:r>
          </w:p>
        </w:tc>
      </w:tr>
      <w:tr>
        <w:tc>
          <w:tcPr>
            <w:tcW w:w="1361" w:type="dxa"/>
          </w:tcPr>
          <w:p>
            <w:pPr>
              <w:pStyle w:val="0"/>
              <w:jc w:val="center"/>
            </w:pPr>
            <w:r>
              <w:rPr>
                <w:sz w:val="20"/>
              </w:rPr>
              <w:t xml:space="preserve">4.2.2</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линейные разъединители номинальным током от 100 до 250 А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164 503,49</w:t>
            </w:r>
          </w:p>
        </w:tc>
      </w:tr>
      <w:tr>
        <w:tc>
          <w:tcPr>
            <w:tcW w:w="1361" w:type="dxa"/>
            <w:vMerge w:val="restart"/>
          </w:tcPr>
          <w:p>
            <w:pPr>
              <w:pStyle w:val="0"/>
              <w:jc w:val="center"/>
            </w:pPr>
            <w:r>
              <w:rPr>
                <w:sz w:val="20"/>
              </w:rPr>
              <w:t xml:space="preserve">4.2.4</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vMerge w:val="restart"/>
          </w:tcPr>
          <w:p>
            <w:pPr>
              <w:pStyle w:val="0"/>
            </w:pPr>
            <w:r>
              <w:rPr>
                <w:sz w:val="20"/>
              </w:rPr>
              <w:t xml:space="preserve">линейные разъединители номинальным током от 500 до 1000 А включительно</w:t>
            </w:r>
          </w:p>
        </w:tc>
        <w:tc>
          <w:tcPr>
            <w:tcW w:w="1304" w:type="dxa"/>
            <w:vMerge w:val="restart"/>
          </w:tcPr>
          <w:p>
            <w:pPr>
              <w:pStyle w:val="0"/>
              <w:jc w:val="center"/>
            </w:pPr>
            <w:r>
              <w:rPr>
                <w:sz w:val="20"/>
              </w:rPr>
              <w:t xml:space="preserve">рублей/шт.</w:t>
            </w:r>
          </w:p>
        </w:tc>
        <w:tc>
          <w:tcPr>
            <w:tcW w:w="1531" w:type="dxa"/>
          </w:tcPr>
          <w:p>
            <w:pPr>
              <w:pStyle w:val="0"/>
              <w:jc w:val="center"/>
            </w:pPr>
            <w:r>
              <w:rPr>
                <w:sz w:val="20"/>
              </w:rPr>
              <w:t xml:space="preserve">87 669,12</w:t>
            </w:r>
          </w:p>
        </w:tc>
      </w:tr>
      <w:tr>
        <w:tc>
          <w:tcPr>
            <w:vMerge w:val="continue"/>
          </w:tcPr>
          <w:p/>
        </w:tc>
        <w:tc>
          <w:tcPr>
            <w:tcW w:w="1474" w:type="dxa"/>
          </w:tcPr>
          <w:p>
            <w:pPr>
              <w:pStyle w:val="0"/>
              <w:jc w:val="center"/>
            </w:pP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388 827,70</w:t>
            </w:r>
          </w:p>
        </w:tc>
      </w:tr>
      <w:tr>
        <w:tc>
          <w:tcPr>
            <w:tcW w:w="1361" w:type="dxa"/>
          </w:tcPr>
          <w:p>
            <w:pPr>
              <w:pStyle w:val="0"/>
              <w:jc w:val="center"/>
            </w:pPr>
            <w:r>
              <w:rPr>
                <w:sz w:val="20"/>
              </w:rPr>
              <w:t xml:space="preserve">4.4.3.3</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от 10 до 15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9 774 304,53</w:t>
            </w:r>
          </w:p>
        </w:tc>
      </w:tr>
      <w:tr>
        <w:tc>
          <w:tcPr>
            <w:tcW w:w="1361" w:type="dxa"/>
          </w:tcPr>
          <w:p>
            <w:pPr>
              <w:pStyle w:val="0"/>
              <w:jc w:val="center"/>
            </w:pPr>
            <w:r>
              <w:rPr>
                <w:sz w:val="20"/>
              </w:rPr>
              <w:t xml:space="preserve">4.5.2.1</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комплектные распределительные устройства наружной установки (КРН, КРУН) номинальным током от 100 до 250 А включительно с количеством ячеек до 5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12 492 409,56</w:t>
            </w:r>
          </w:p>
        </w:tc>
      </w:tr>
      <w:tr>
        <w:tc>
          <w:tcPr>
            <w:tcW w:w="1361" w:type="dxa"/>
          </w:tcPr>
          <w:p>
            <w:pPr>
              <w:pStyle w:val="0"/>
              <w:jc w:val="center"/>
            </w:pPr>
            <w:r>
              <w:rPr>
                <w:sz w:val="20"/>
              </w:rPr>
              <w:t xml:space="preserve">4.5.3.2</w:t>
            </w: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3402" w:type="dxa"/>
          </w:tcPr>
          <w:p>
            <w:pPr>
              <w:pStyle w:val="0"/>
            </w:pPr>
            <w:r>
              <w:rPr>
                <w:sz w:val="20"/>
              </w:rPr>
              <w:t xml:space="preserve">комплектные распределительные устройства наружной установки (КРН, КРУН) номинальным током от 250 до 500 А включительно с количеством ячеек от 5 до 10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16 833 836,84</w:t>
            </w:r>
          </w:p>
        </w:tc>
      </w:tr>
      <w:tr>
        <w:tc>
          <w:tcPr>
            <w:tcW w:w="1361" w:type="dxa"/>
          </w:tcPr>
          <w:p>
            <w:pPr>
              <w:pStyle w:val="0"/>
              <w:jc w:val="center"/>
            </w:pPr>
            <w:r>
              <w:rPr>
                <w:sz w:val="20"/>
              </w:rPr>
              <w:t xml:space="preserve">4.6.5.1</w:t>
            </w:r>
          </w:p>
        </w:tc>
        <w:tc>
          <w:tcPr>
            <w:tcW w:w="1474" w:type="dxa"/>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3402" w:type="dxa"/>
          </w:tcPr>
          <w:p>
            <w:pPr>
              <w:pStyle w:val="0"/>
            </w:pPr>
            <w:r>
              <w:rPr>
                <w:sz w:val="20"/>
              </w:rPr>
              <w:t xml:space="preserve">переключательные пункты номинальным током свыше 1000 А с количеством ячеек до 5 включительно</w:t>
            </w:r>
          </w:p>
        </w:tc>
        <w:tc>
          <w:tcPr>
            <w:tcW w:w="1304" w:type="dxa"/>
          </w:tcPr>
          <w:p>
            <w:pPr>
              <w:pStyle w:val="0"/>
              <w:jc w:val="center"/>
            </w:pPr>
            <w:r>
              <w:rPr>
                <w:sz w:val="20"/>
              </w:rPr>
              <w:t xml:space="preserve">рублей/шт.</w:t>
            </w:r>
          </w:p>
        </w:tc>
        <w:tc>
          <w:tcPr>
            <w:tcW w:w="1531" w:type="dxa"/>
          </w:tcPr>
          <w:p>
            <w:pPr>
              <w:pStyle w:val="0"/>
              <w:jc w:val="center"/>
            </w:pPr>
            <w:r>
              <w:rPr>
                <w:sz w:val="20"/>
              </w:rPr>
              <w:t xml:space="preserve">28 388 851,20</w:t>
            </w:r>
          </w:p>
        </w:tc>
      </w:tr>
      <w:tr>
        <w:tc>
          <w:tcPr>
            <w:tcW w:w="1361" w:type="dxa"/>
            <w:vMerge w:val="restart"/>
          </w:tcPr>
          <w:p>
            <w:pPr>
              <w:pStyle w:val="0"/>
              <w:jc w:val="center"/>
            </w:pPr>
            <w:r>
              <w:rPr>
                <w:sz w:val="20"/>
              </w:rPr>
              <w:t xml:space="preserve">5.1.1.1</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до 25 кВА включительно столбового/мачтового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18 651,96</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32 460</w:t>
            </w:r>
          </w:p>
        </w:tc>
      </w:tr>
      <w:tr>
        <w:tc>
          <w:tcPr>
            <w:tcW w:w="1361" w:type="dxa"/>
            <w:vMerge w:val="restart"/>
          </w:tcPr>
          <w:p>
            <w:pPr>
              <w:pStyle w:val="0"/>
              <w:jc w:val="center"/>
            </w:pPr>
            <w:r>
              <w:rPr>
                <w:sz w:val="20"/>
              </w:rPr>
              <w:t xml:space="preserve">5.1.2.1</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25 до 100 кВА включительно столбового/мачтового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10 972,36</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14 096,8</w:t>
            </w:r>
          </w:p>
        </w:tc>
      </w:tr>
      <w:tr>
        <w:tc>
          <w:tcPr>
            <w:tcW w:w="1361" w:type="dxa"/>
            <w:vMerge w:val="restart"/>
          </w:tcPr>
          <w:p>
            <w:pPr>
              <w:pStyle w:val="0"/>
              <w:jc w:val="center"/>
            </w:pPr>
            <w:r>
              <w:rPr>
                <w:sz w:val="20"/>
              </w:rPr>
              <w:t xml:space="preserve">5.1.3.1</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100 до 250 кВА включительно столбового/мачтового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4 565,68</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5 280</w:t>
            </w:r>
          </w:p>
        </w:tc>
      </w:tr>
      <w:tr>
        <w:tc>
          <w:tcPr>
            <w:tcW w:w="1361" w:type="dxa"/>
            <w:vMerge w:val="restart"/>
          </w:tcPr>
          <w:p>
            <w:pPr>
              <w:pStyle w:val="0"/>
              <w:jc w:val="center"/>
            </w:pPr>
            <w:r>
              <w:rPr>
                <w:sz w:val="20"/>
              </w:rPr>
              <w:t xml:space="preserve">5.1.3.2</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100 до 250 кВА включительно шкафного или киоскового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4 681,40</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7 500</w:t>
            </w:r>
          </w:p>
        </w:tc>
      </w:tr>
      <w:tr>
        <w:tc>
          <w:tcPr>
            <w:tcW w:w="1361" w:type="dxa"/>
            <w:vMerge w:val="restart"/>
          </w:tcPr>
          <w:p>
            <w:pPr>
              <w:pStyle w:val="0"/>
              <w:jc w:val="center"/>
            </w:pPr>
            <w:r>
              <w:rPr>
                <w:sz w:val="20"/>
              </w:rPr>
              <w:t xml:space="preserve">5.1.4.2</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250 до 400 кВА включительно шкафного или киоскового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2 556,36</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3 380</w:t>
            </w:r>
          </w:p>
        </w:tc>
      </w:tr>
      <w:tr>
        <w:tc>
          <w:tcPr>
            <w:tcW w:w="1361" w:type="dxa"/>
            <w:vMerge w:val="restart"/>
          </w:tcPr>
          <w:p>
            <w:pPr>
              <w:pStyle w:val="0"/>
              <w:jc w:val="center"/>
            </w:pPr>
            <w:r>
              <w:rPr>
                <w:sz w:val="20"/>
              </w:rPr>
              <w:t xml:space="preserve">5.1.5.2</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400 до 630 кВА включительно шкафного или киоскового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4 302,68</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5 030</w:t>
            </w:r>
          </w:p>
        </w:tc>
      </w:tr>
      <w:tr>
        <w:tc>
          <w:tcPr>
            <w:tcW w:w="1361" w:type="dxa"/>
            <w:vMerge w:val="restart"/>
          </w:tcPr>
          <w:p>
            <w:pPr>
              <w:pStyle w:val="0"/>
              <w:jc w:val="center"/>
            </w:pPr>
            <w:r>
              <w:rPr>
                <w:sz w:val="20"/>
              </w:rPr>
              <w:t xml:space="preserve">5.1.6.3</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однотрансформаторные подстанции (за исключением РТП) мощностью от 630 до 1000 кВА включительно блочного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5 958,61</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5 586,20</w:t>
            </w:r>
          </w:p>
        </w:tc>
      </w:tr>
      <w:tr>
        <w:tc>
          <w:tcPr>
            <w:vMerge w:val="continue"/>
          </w:tcPr>
          <w:p/>
        </w:tc>
        <w:tc>
          <w:tcPr>
            <w:tcW w:w="1474" w:type="dxa"/>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20 819,30</w:t>
            </w:r>
          </w:p>
        </w:tc>
      </w:tr>
      <w:tr>
        <w:tc>
          <w:tcPr>
            <w:tcW w:w="1361" w:type="dxa"/>
          </w:tcPr>
          <w:p>
            <w:pPr>
              <w:pStyle w:val="0"/>
              <w:jc w:val="center"/>
            </w:pPr>
            <w:r>
              <w:rPr>
                <w:sz w:val="20"/>
              </w:rPr>
              <w:t xml:space="preserve">5.2.2.3</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(за исключением РТП) мощностью от 25 до 100 кВА включительно блочного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94 976,87</w:t>
            </w:r>
          </w:p>
        </w:tc>
      </w:tr>
      <w:tr>
        <w:tc>
          <w:tcPr>
            <w:tcW w:w="1361" w:type="dxa"/>
          </w:tcPr>
          <w:p>
            <w:pPr>
              <w:pStyle w:val="0"/>
              <w:jc w:val="center"/>
            </w:pPr>
            <w:r>
              <w:rPr>
                <w:sz w:val="20"/>
              </w:rPr>
              <w:t xml:space="preserve">5.2.3.3</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(за исключением РТП) мощностью от 100 до 250 кВА включительно блочного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52 987,33</w:t>
            </w:r>
          </w:p>
        </w:tc>
      </w:tr>
      <w:tr>
        <w:tc>
          <w:tcPr>
            <w:tcW w:w="1361" w:type="dxa"/>
          </w:tcPr>
          <w:p>
            <w:pPr>
              <w:pStyle w:val="0"/>
              <w:jc w:val="center"/>
            </w:pPr>
            <w:r>
              <w:rPr>
                <w:sz w:val="20"/>
              </w:rPr>
              <w:t xml:space="preserve">5.2.4.2</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(за исключением РТП) мощностью от 250 до 400 кВА включительно шкафного или киоскового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2 385,46</w:t>
            </w:r>
          </w:p>
        </w:tc>
      </w:tr>
      <w:tr>
        <w:tc>
          <w:tcPr>
            <w:tcW w:w="1361" w:type="dxa"/>
            <w:vMerge w:val="restart"/>
          </w:tcPr>
          <w:p>
            <w:pPr>
              <w:pStyle w:val="0"/>
              <w:jc w:val="center"/>
            </w:pPr>
            <w:r>
              <w:rPr>
                <w:sz w:val="20"/>
              </w:rPr>
              <w:t xml:space="preserve">5.2.4.3</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vMerge w:val="restart"/>
          </w:tcPr>
          <w:p>
            <w:pPr>
              <w:pStyle w:val="0"/>
            </w:pPr>
            <w:r>
              <w:rPr>
                <w:sz w:val="20"/>
              </w:rPr>
              <w:t xml:space="preserve">Двухтрансформаторные и более подстанции (за исключением РТП) мощностью от 250 до 400 кВА включительно блочного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9 049,07</w:t>
            </w:r>
          </w:p>
        </w:tc>
      </w:tr>
      <w:tr>
        <w:tc>
          <w:tcPr>
            <w:vMerge w:val="continue"/>
          </w:tcP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26 661,91</w:t>
            </w:r>
          </w:p>
        </w:tc>
      </w:tr>
      <w:tr>
        <w:tc>
          <w:tcPr>
            <w:tcW w:w="1361" w:type="dxa"/>
          </w:tcPr>
          <w:p>
            <w:pPr>
              <w:pStyle w:val="0"/>
              <w:jc w:val="center"/>
            </w:pPr>
            <w:r>
              <w:rPr>
                <w:sz w:val="20"/>
              </w:rPr>
              <w:t xml:space="preserve">5.2.5.3</w:t>
            </w: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(за исключением РТП) мощностью от 400 до 1000 кВА включительно блочного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7 145</w:t>
            </w:r>
          </w:p>
        </w:tc>
      </w:tr>
      <w:tr>
        <w:tc>
          <w:tcPr>
            <w:tcW w:w="1361" w:type="dxa"/>
          </w:tcPr>
          <w:p>
            <w:pPr>
              <w:pStyle w:val="0"/>
              <w:jc w:val="center"/>
            </w:pPr>
            <w:r>
              <w:rPr>
                <w:sz w:val="20"/>
              </w:rPr>
              <w:t xml:space="preserve">5.2.6.3</w:t>
            </w:r>
          </w:p>
        </w:tc>
        <w:tc>
          <w:tcPr>
            <w:tcW w:w="1474" w:type="dxa"/>
          </w:tcPr>
          <w:p>
            <w:pPr>
              <w:pStyle w:val="0"/>
              <w:jc w:val="center"/>
            </w:pPr>
            <w:r>
              <w:rPr>
                <w:position w:val="-8"/>
              </w:rPr>
              <w:drawing>
                <wp:inline distT="0" distB="0" distL="0" distR="0">
                  <wp:extent cx="5048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(за исключением РТП) мощностью от 630 до 1000 кВА включительно блочного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11 233,33</w:t>
            </w:r>
          </w:p>
        </w:tc>
      </w:tr>
      <w:tr>
        <w:tc>
          <w:tcPr>
            <w:tcW w:w="1361" w:type="dxa"/>
            <w:vMerge w:val="restart"/>
          </w:tcPr>
          <w:p>
            <w:pPr>
              <w:pStyle w:val="0"/>
              <w:jc w:val="center"/>
            </w:pPr>
            <w:r>
              <w:rPr>
                <w:sz w:val="20"/>
              </w:rPr>
              <w:t xml:space="preserve">5.2.8.3.</w:t>
            </w:r>
          </w:p>
        </w:tc>
        <w:tc>
          <w:tcPr>
            <w:tcW w:w="1474" w:type="dxa"/>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402" w:type="dxa"/>
            <w:vMerge w:val="restart"/>
          </w:tcPr>
          <w:p>
            <w:pPr>
              <w:pStyle w:val="0"/>
            </w:pPr>
            <w:r>
              <w:rPr>
                <w:sz w:val="20"/>
              </w:rPr>
              <w:t xml:space="preserve">двухтрансформаторные и более подстанции (за исключением РТП) мощностью от 1250 кВА до 1600 кВА включительно блочного типа</w:t>
            </w:r>
          </w:p>
        </w:tc>
        <w:tc>
          <w:tcPr>
            <w:tcW w:w="1304" w:type="dxa"/>
            <w:vMerge w:val="restart"/>
          </w:tcPr>
          <w:p>
            <w:pPr>
              <w:pStyle w:val="0"/>
              <w:jc w:val="center"/>
            </w:pPr>
            <w:r>
              <w:rPr>
                <w:sz w:val="20"/>
              </w:rPr>
              <w:t xml:space="preserve">рублей/кВт</w:t>
            </w:r>
          </w:p>
        </w:tc>
        <w:tc>
          <w:tcPr>
            <w:tcW w:w="1531" w:type="dxa"/>
          </w:tcPr>
          <w:p>
            <w:pPr>
              <w:pStyle w:val="0"/>
              <w:jc w:val="center"/>
            </w:pPr>
            <w:r>
              <w:rPr>
                <w:sz w:val="20"/>
              </w:rPr>
              <w:t xml:space="preserve">12 739,20</w:t>
            </w:r>
          </w:p>
        </w:tc>
      </w:tr>
      <w:tr>
        <w:tc>
          <w:tcPr>
            <w:vMerge w:val="continue"/>
          </w:tcPr>
          <w:p/>
        </w:tc>
        <w:tc>
          <w:tcPr>
            <w:tcW w:w="1474" w:type="dxa"/>
          </w:tcPr>
          <w:p>
            <w:pPr>
              <w:pStyle w:val="0"/>
              <w:jc w:val="center"/>
            </w:pPr>
            <w:r>
              <w:rPr>
                <w:position w:val="-8"/>
              </w:rPr>
              <w:drawing>
                <wp:inline distT="0" distB="0" distL="0" distR="0">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11 878,17</w:t>
            </w:r>
          </w:p>
        </w:tc>
      </w:tr>
      <w:tr>
        <w:tc>
          <w:tcPr>
            <w:tcW w:w="1361" w:type="dxa"/>
          </w:tcPr>
          <w:p>
            <w:pPr>
              <w:pStyle w:val="0"/>
              <w:jc w:val="center"/>
            </w:pPr>
            <w:r>
              <w:rPr>
                <w:sz w:val="20"/>
              </w:rPr>
              <w:t xml:space="preserve">7.2.1.2</w:t>
            </w:r>
          </w:p>
        </w:tc>
        <w:tc>
          <w:tcPr>
            <w:tcW w:w="1474" w:type="dxa"/>
          </w:tcPr>
          <w:p>
            <w:pPr>
              <w:pStyle w:val="0"/>
              <w:jc w:val="center"/>
            </w:pPr>
            <w:r>
              <w:rPr>
                <w:position w:val="-8"/>
              </w:rPr>
              <w:drawing>
                <wp:inline distT="0" distB="0" distL="0" distR="0">
                  <wp:extent cx="638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мощностью до 6,3 МВА включительно закрытого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75 323,99</w:t>
            </w:r>
          </w:p>
        </w:tc>
      </w:tr>
      <w:tr>
        <w:tc>
          <w:tcPr>
            <w:tcW w:w="1361" w:type="dxa"/>
          </w:tcPr>
          <w:p>
            <w:pPr>
              <w:pStyle w:val="0"/>
              <w:jc w:val="center"/>
            </w:pPr>
            <w:r>
              <w:rPr>
                <w:sz w:val="20"/>
              </w:rPr>
              <w:t xml:space="preserve">7.2.6.1</w:t>
            </w:r>
          </w:p>
        </w:tc>
        <w:tc>
          <w:tcPr>
            <w:tcW w:w="1474" w:type="dxa"/>
          </w:tcPr>
          <w:p>
            <w:pPr>
              <w:pStyle w:val="0"/>
              <w:jc w:val="center"/>
            </w:pPr>
            <w:r>
              <w:rPr>
                <w:position w:val="-8"/>
              </w:rPr>
              <w:drawing>
                <wp:inline distT="0" distB="0" distL="0" distR="0">
                  <wp:extent cx="638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3402" w:type="dxa"/>
          </w:tcPr>
          <w:p>
            <w:pPr>
              <w:pStyle w:val="0"/>
            </w:pPr>
            <w:r>
              <w:rPr>
                <w:sz w:val="20"/>
              </w:rPr>
              <w:t xml:space="preserve">двухтрансформаторные и более подстанции мощностью от 32 МВА до 40 МВА включительно открытого типа</w:t>
            </w:r>
          </w:p>
        </w:tc>
        <w:tc>
          <w:tcPr>
            <w:tcW w:w="1304" w:type="dxa"/>
          </w:tcPr>
          <w:p>
            <w:pPr>
              <w:pStyle w:val="0"/>
              <w:jc w:val="center"/>
            </w:pPr>
            <w:r>
              <w:rPr>
                <w:sz w:val="20"/>
              </w:rPr>
              <w:t xml:space="preserve">рублей/кВт</w:t>
            </w:r>
          </w:p>
        </w:tc>
        <w:tc>
          <w:tcPr>
            <w:tcW w:w="1531" w:type="dxa"/>
          </w:tcPr>
          <w:p>
            <w:pPr>
              <w:pStyle w:val="0"/>
              <w:jc w:val="center"/>
            </w:pPr>
            <w:r>
              <w:rPr>
                <w:sz w:val="20"/>
              </w:rPr>
              <w:t xml:space="preserve">14 274,43</w:t>
            </w:r>
          </w:p>
        </w:tc>
      </w:tr>
      <w:tr>
        <w:tc>
          <w:tcPr>
            <w:tcW w:w="1361" w:type="dxa"/>
          </w:tcPr>
          <w:p>
            <w:pPr>
              <w:pStyle w:val="0"/>
              <w:jc w:val="center"/>
            </w:pPr>
            <w:r>
              <w:rPr>
                <w:sz w:val="20"/>
              </w:rPr>
              <w:t xml:space="preserve">8.1.1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средства коммерческого учета электрической энергии (мощности) однофазные прямого включения</w:t>
            </w:r>
          </w:p>
        </w:tc>
        <w:tc>
          <w:tcPr>
            <w:tcW w:w="1304" w:type="dxa"/>
          </w:tcPr>
          <w:p>
            <w:pPr>
              <w:pStyle w:val="0"/>
              <w:jc w:val="center"/>
            </w:pPr>
            <w:r>
              <w:rPr>
                <w:sz w:val="20"/>
              </w:rPr>
              <w:t xml:space="preserve">рублей за точку учета</w:t>
            </w:r>
          </w:p>
        </w:tc>
        <w:tc>
          <w:tcPr>
            <w:tcW w:w="1531" w:type="dxa"/>
          </w:tcPr>
          <w:p>
            <w:pPr>
              <w:pStyle w:val="0"/>
              <w:jc w:val="center"/>
            </w:pPr>
            <w:r>
              <w:rPr>
                <w:sz w:val="20"/>
              </w:rPr>
              <w:t xml:space="preserve">18 350</w:t>
            </w:r>
          </w:p>
        </w:tc>
      </w:tr>
      <w:tr>
        <w:tc>
          <w:tcPr>
            <w:tcW w:w="1361" w:type="dxa"/>
          </w:tcPr>
          <w:p>
            <w:pPr>
              <w:pStyle w:val="0"/>
              <w:jc w:val="center"/>
            </w:pPr>
            <w:r>
              <w:rPr>
                <w:sz w:val="20"/>
              </w:rPr>
              <w:t xml:space="preserve">8.2.1</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tcPr>
          <w:p>
            <w:pPr>
              <w:pStyle w:val="0"/>
            </w:pPr>
            <w:r>
              <w:rPr>
                <w:sz w:val="20"/>
              </w:rPr>
              <w:t xml:space="preserve">средства коммерческого учета электрической энергии (мощности) трехфазные прямого включения</w:t>
            </w:r>
          </w:p>
        </w:tc>
        <w:tc>
          <w:tcPr>
            <w:tcW w:w="1304" w:type="dxa"/>
          </w:tcPr>
          <w:p>
            <w:pPr>
              <w:pStyle w:val="0"/>
              <w:jc w:val="center"/>
            </w:pPr>
            <w:r>
              <w:rPr>
                <w:sz w:val="20"/>
              </w:rPr>
              <w:t xml:space="preserve">рублей за точку учета</w:t>
            </w:r>
          </w:p>
        </w:tc>
        <w:tc>
          <w:tcPr>
            <w:tcW w:w="1531" w:type="dxa"/>
          </w:tcPr>
          <w:p>
            <w:pPr>
              <w:pStyle w:val="0"/>
              <w:jc w:val="center"/>
            </w:pPr>
            <w:r>
              <w:rPr>
                <w:sz w:val="20"/>
              </w:rPr>
              <w:t xml:space="preserve">44 290</w:t>
            </w:r>
          </w:p>
        </w:tc>
      </w:tr>
      <w:tr>
        <w:tc>
          <w:tcPr>
            <w:tcW w:w="1361" w:type="dxa"/>
            <w:vMerge w:val="restart"/>
          </w:tcPr>
          <w:p>
            <w:pPr>
              <w:pStyle w:val="0"/>
              <w:jc w:val="center"/>
            </w:pPr>
            <w:r>
              <w:rPr>
                <w:sz w:val="20"/>
              </w:rPr>
              <w:t xml:space="preserve">8.2.2</w:t>
            </w:r>
          </w:p>
        </w:tc>
        <w:tc>
          <w:tcPr>
            <w:tcW w:w="1474" w:type="dxa"/>
          </w:tcPr>
          <w:p>
            <w:pPr>
              <w:pStyle w:val="0"/>
              <w:jc w:val="center"/>
            </w:pPr>
            <w:r>
              <w:rPr>
                <w:position w:val="-8"/>
              </w:rPr>
              <w:drawing>
                <wp:inline distT="0" distB="0" distL="0" distR="0">
                  <wp:extent cx="647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tc>
        <w:tc>
          <w:tcPr>
            <w:tcW w:w="3402" w:type="dxa"/>
            <w:vMerge w:val="restart"/>
          </w:tcPr>
          <w:p>
            <w:pPr>
              <w:pStyle w:val="0"/>
            </w:pPr>
            <w:r>
              <w:rPr>
                <w:sz w:val="20"/>
              </w:rPr>
              <w:t xml:space="preserve">средства коммерческого учета электрической энергии (мощности) трехфазные полукосвенного включения</w:t>
            </w:r>
          </w:p>
        </w:tc>
        <w:tc>
          <w:tcPr>
            <w:tcW w:w="1304" w:type="dxa"/>
            <w:vMerge w:val="restart"/>
          </w:tcPr>
          <w:p>
            <w:pPr>
              <w:pStyle w:val="0"/>
              <w:jc w:val="center"/>
            </w:pPr>
            <w:r>
              <w:rPr>
                <w:sz w:val="20"/>
              </w:rPr>
              <w:t xml:space="preserve">рублей за точку учета</w:t>
            </w:r>
          </w:p>
        </w:tc>
        <w:tc>
          <w:tcPr>
            <w:tcW w:w="1531" w:type="dxa"/>
          </w:tcPr>
          <w:p>
            <w:pPr>
              <w:pStyle w:val="0"/>
              <w:jc w:val="center"/>
            </w:pPr>
            <w:r>
              <w:rPr>
                <w:sz w:val="20"/>
              </w:rPr>
              <w:t xml:space="preserve">52 740</w:t>
            </w:r>
          </w:p>
        </w:tc>
      </w:tr>
      <w:tr>
        <w:tc>
          <w:tcPr>
            <w:vMerge w:val="continue"/>
          </w:tcPr>
          <w:p/>
        </w:tc>
        <w:tc>
          <w:tcPr>
            <w:tcW w:w="1474" w:type="dxa"/>
          </w:tcPr>
          <w:p>
            <w:pPr>
              <w:pStyle w:val="0"/>
              <w:jc w:val="center"/>
            </w:pPr>
            <w:r>
              <w:rPr>
                <w:position w:val="-8"/>
              </w:rPr>
              <w:drawing>
                <wp:inline distT="0" distB="0" distL="0" distR="0">
                  <wp:extent cx="4572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318 471,96</w:t>
            </w:r>
          </w:p>
        </w:tc>
      </w:tr>
      <w:tr>
        <w:tc>
          <w:tcPr>
            <w:tcW w:w="1361" w:type="dxa"/>
            <w:vMerge w:val="restart"/>
          </w:tcPr>
          <w:p>
            <w:pPr>
              <w:pStyle w:val="0"/>
              <w:jc w:val="center"/>
            </w:pPr>
            <w:r>
              <w:rPr>
                <w:sz w:val="20"/>
              </w:rPr>
              <w:t xml:space="preserve">8.2.3</w:t>
            </w:r>
          </w:p>
        </w:tc>
        <w:tc>
          <w:tcPr>
            <w:tcW w:w="1474" w:type="dxa"/>
          </w:tcPr>
          <w:p>
            <w:pPr>
              <w:pStyle w:val="0"/>
              <w:jc w:val="center"/>
            </w:pPr>
            <w:r>
              <w:rPr>
                <w:position w:val="-8"/>
              </w:rPr>
              <w:drawing>
                <wp:inline distT="0" distB="0" distL="0" distR="0">
                  <wp:extent cx="4476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3402" w:type="dxa"/>
            <w:vMerge w:val="restart"/>
          </w:tcPr>
          <w:p>
            <w:pPr>
              <w:pStyle w:val="0"/>
            </w:pPr>
            <w:r>
              <w:rPr>
                <w:sz w:val="20"/>
              </w:rPr>
              <w:t xml:space="preserve">средства коммерческого учета электрической энергии (мощности) трехфазные косвенного включения</w:t>
            </w:r>
          </w:p>
        </w:tc>
        <w:tc>
          <w:tcPr>
            <w:tcW w:w="1304" w:type="dxa"/>
            <w:vMerge w:val="restart"/>
          </w:tcPr>
          <w:p>
            <w:pPr>
              <w:pStyle w:val="0"/>
              <w:jc w:val="center"/>
            </w:pPr>
            <w:r>
              <w:rPr>
                <w:sz w:val="20"/>
              </w:rPr>
              <w:t xml:space="preserve">рублей за точку учета</w:t>
            </w:r>
          </w:p>
        </w:tc>
        <w:tc>
          <w:tcPr>
            <w:tcW w:w="1531" w:type="dxa"/>
          </w:tcPr>
          <w:p>
            <w:pPr>
              <w:pStyle w:val="0"/>
              <w:jc w:val="center"/>
            </w:pPr>
            <w:r>
              <w:rPr>
                <w:sz w:val="20"/>
              </w:rPr>
              <w:t xml:space="preserve">755 259,20</w:t>
            </w:r>
          </w:p>
        </w:tc>
      </w:tr>
      <w:tr>
        <w:tc>
          <w:tcPr>
            <w:vMerge w:val="continue"/>
          </w:tcPr>
          <w:p/>
        </w:tc>
        <w:tc>
          <w:tcPr>
            <w:tcW w:w="1474" w:type="dxa"/>
          </w:tcPr>
          <w:p>
            <w:pPr>
              <w:pStyle w:val="0"/>
              <w:jc w:val="center"/>
            </w:pPr>
            <w:r>
              <w:rPr>
                <w:position w:val="-8"/>
              </w:rPr>
              <w:drawing>
                <wp:inline distT="0" distB="0" distL="0" distR="0">
                  <wp:extent cx="371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84 967,94</w:t>
            </w:r>
          </w:p>
        </w:tc>
      </w:tr>
      <w:tr>
        <w:tc>
          <w:tcPr>
            <w:vMerge w:val="continue"/>
          </w:tcPr>
          <w:p/>
        </w:tc>
        <w:tc>
          <w:tcPr>
            <w:tcW w:w="1474" w:type="dxa"/>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vMerge w:val="continue"/>
          </w:tcPr>
          <w:p/>
        </w:tc>
        <w:tc>
          <w:tcPr>
            <w:vMerge w:val="continue"/>
          </w:tcPr>
          <w:p/>
        </w:tc>
        <w:tc>
          <w:tcPr>
            <w:tcW w:w="1531" w:type="dxa"/>
          </w:tcPr>
          <w:p>
            <w:pPr>
              <w:pStyle w:val="0"/>
              <w:jc w:val="center"/>
            </w:pPr>
            <w:r>
              <w:rPr>
                <w:sz w:val="20"/>
              </w:rPr>
              <w:t xml:space="preserve">31 465,42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19 декабря 2023 г. N 44/14</w:t>
      </w:r>
    </w:p>
    <w:p>
      <w:pPr>
        <w:pStyle w:val="0"/>
        <w:jc w:val="both"/>
      </w:pPr>
      <w:r>
        <w:rPr>
          <w:sz w:val="20"/>
        </w:rPr>
      </w:r>
    </w:p>
    <w:bookmarkStart w:id="479" w:name="P479"/>
    <w:bookmarkEnd w:id="479"/>
    <w:p>
      <w:pPr>
        <w:pStyle w:val="2"/>
        <w:jc w:val="center"/>
      </w:pPr>
      <w:r>
        <w:rPr>
          <w:sz w:val="20"/>
        </w:rPr>
        <w:t xml:space="preserve">ФОРМУЛЫ ПЛАТЫ ЗА ТЕХНОЛОГИЧЕСКОЕ ПРИСОЕДИНЕНИЕ</w:t>
      </w:r>
    </w:p>
    <w:p>
      <w:pPr>
        <w:pStyle w:val="0"/>
        <w:jc w:val="both"/>
      </w:pPr>
      <w:r>
        <w:rPr>
          <w:sz w:val="20"/>
        </w:rPr>
      </w:r>
    </w:p>
    <w:p>
      <w:pPr>
        <w:pStyle w:val="0"/>
        <w:ind w:firstLine="540"/>
        <w:jc w:val="both"/>
      </w:pPr>
      <w:r>
        <w:rPr>
          <w:sz w:val="20"/>
        </w:rPr>
        <w:t xml:space="preserve">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 исходя из стандартизированных тарифных ставок и способа технологического присоединения к электрическим сетям сетевой организации, согласно выданным техническим условиям:</w:t>
      </w:r>
    </w:p>
    <w:p>
      <w:pPr>
        <w:pStyle w:val="0"/>
        <w:spacing w:before="200" w:line-rule="auto"/>
        <w:ind w:firstLine="540"/>
        <w:jc w:val="both"/>
      </w:pPr>
      <w:r>
        <w:rPr>
          <w:sz w:val="20"/>
        </w:rPr>
        <w:t xml:space="preserve">а) если отсутствует необходимость реализации мероприятий "последней мили":</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1</w:t>
      </w:r>
      <w:r>
        <w:rPr>
          <w:sz w:val="20"/>
        </w:rP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history="0" r:id="rId138"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пункте 16</w:t>
        </w:r>
      </w:hyperlink>
      <w:r>
        <w:rPr>
          <w:sz w:val="20"/>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30.06.2022 N 490/22 (кроме </w:t>
      </w:r>
      <w:hyperlink w:history="0" r:id="rId139" w:tooltip="Приказ ФАС России от 30.06.2022 N 490/22 (ред. от 30.03.2023)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08.2022 N 69710) (с изм. и доп., вступ. в силу с 01.01.2024) {КонсультантПлюс}">
        <w:r>
          <w:rPr>
            <w:sz w:val="20"/>
            <w:color w:val="0000ff"/>
          </w:rPr>
          <w:t xml:space="preserve">подпункта "б"</w:t>
        </w:r>
      </w:hyperlink>
      <w:r>
        <w:rPr>
          <w:sz w:val="20"/>
        </w:rPr>
        <w:t xml:space="preserve">) (руб. за одно присоединение);</w:t>
      </w:r>
    </w:p>
    <w:p>
      <w:pPr>
        <w:pStyle w:val="0"/>
        <w:spacing w:before="200" w:line-rule="auto"/>
        <w:ind w:firstLine="540"/>
        <w:jc w:val="both"/>
      </w:pPr>
      <w:r>
        <w:rPr>
          <w:sz w:val="20"/>
        </w:rPr>
        <w:t xml:space="preserve">С</w:t>
      </w:r>
      <w:r>
        <w:rPr>
          <w:sz w:val="20"/>
          <w:vertAlign w:val="subscript"/>
        </w:rPr>
        <w:t xml:space="preserve">8</w:t>
      </w:r>
      <w:r>
        <w:rPr>
          <w:sz w:val="20"/>
        </w:rPr>
        <w:t xml:space="preserve"> -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(руб./за точку учета);</w:t>
      </w:r>
    </w:p>
    <w:p>
      <w:pPr>
        <w:pStyle w:val="0"/>
        <w:spacing w:before="200" w:line-rule="auto"/>
        <w:ind w:firstLine="540"/>
        <w:jc w:val="both"/>
      </w:pPr>
      <w:r>
        <w:rPr>
          <w:sz w:val="20"/>
        </w:rPr>
        <w:t xml:space="preserve">Q - Количество точек учета.</w:t>
      </w:r>
    </w:p>
    <w:p>
      <w:pPr>
        <w:pStyle w:val="0"/>
        <w:spacing w:before="200" w:line-rule="auto"/>
        <w:ind w:firstLine="540"/>
        <w:jc w:val="both"/>
      </w:pPr>
      <w:r>
        <w:rPr>
          <w:sz w:val="20"/>
        </w:rPr>
        <w:t xml:space="preserve">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2</w:t>
      </w:r>
      <w:r>
        <w:rPr>
          <w:sz w:val="20"/>
        </w:rPr>
        <w:t xml:space="preserve"> x L + С</w:t>
      </w:r>
      <w:r>
        <w:rPr>
          <w:sz w:val="20"/>
          <w:vertAlign w:val="subscript"/>
        </w:rPr>
        <w:t xml:space="preserve">3</w:t>
      </w:r>
      <w:r>
        <w:rPr>
          <w:sz w:val="20"/>
        </w:rPr>
        <w:t xml:space="preserve"> x L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С2 - стандартизированная тарифная ставка на покрытие расходов сетевой организации на строительство воздушных линий электропередачи на i-том уровне напряжения (руб./км);</w:t>
      </w:r>
    </w:p>
    <w:p>
      <w:pPr>
        <w:pStyle w:val="0"/>
        <w:spacing w:before="200" w:line-rule="auto"/>
        <w:ind w:firstLine="540"/>
        <w:jc w:val="both"/>
      </w:pPr>
      <w:r>
        <w:rPr>
          <w:sz w:val="20"/>
        </w:rPr>
        <w:t xml:space="preserve">С3 - стандартизированная тарифная ставка на покрытие расходов сетевой организации на строительство кабельных линий электропередачи на i-том уровне напряжения (руб./км);</w:t>
      </w:r>
    </w:p>
    <w:p>
      <w:pPr>
        <w:pStyle w:val="0"/>
        <w:spacing w:before="200" w:line-rule="auto"/>
        <w:ind w:firstLine="540"/>
        <w:jc w:val="both"/>
      </w:pPr>
      <w:r>
        <w:rPr>
          <w:sz w:val="20"/>
        </w:rPr>
        <w:t xml:space="preserve">L - суммарная протяженность воздушных и (или) кабельных линий на i-том уровне напряжения, строительство которых предусмотрено согласно выданным техническим условиям для технологического присоединения Заявителя (км).</w:t>
      </w:r>
    </w:p>
    <w:p>
      <w:pPr>
        <w:pStyle w:val="0"/>
        <w:spacing w:before="200" w:line-rule="auto"/>
        <w:ind w:firstLine="540"/>
        <w:jc w:val="both"/>
      </w:pPr>
      <w:r>
        <w:rPr>
          <w:sz w:val="20"/>
        </w:rPr>
        <w:t xml:space="preserve">Стандартизированные тарифные ставки С</w:t>
      </w:r>
      <w:r>
        <w:rPr>
          <w:sz w:val="20"/>
          <w:vertAlign w:val="subscript"/>
        </w:rPr>
        <w:t xml:space="preserve">2</w:t>
      </w:r>
      <w:r>
        <w:rPr>
          <w:sz w:val="20"/>
        </w:rPr>
        <w:t xml:space="preserve"> и С</w:t>
      </w:r>
      <w:r>
        <w:rPr>
          <w:sz w:val="20"/>
          <w:vertAlign w:val="subscript"/>
        </w:rPr>
        <w:t xml:space="preserve">3</w:t>
      </w:r>
      <w:r>
        <w:rPr>
          <w:sz w:val="20"/>
        </w:rPr>
        <w:t xml:space="preserve"> применяются к протяженности линий электропередачи по трассе.</w:t>
      </w:r>
    </w:p>
    <w:p>
      <w:pPr>
        <w:pStyle w:val="0"/>
        <w:spacing w:before="200" w:line-rule="auto"/>
        <w:ind w:firstLine="540"/>
        <w:jc w:val="both"/>
      </w:pPr>
      <w:r>
        <w:rPr>
          <w:sz w:val="20"/>
        </w:rP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2</w:t>
      </w:r>
      <w:r>
        <w:rPr>
          <w:sz w:val="20"/>
        </w:rPr>
        <w:t xml:space="preserve"> x L + С</w:t>
      </w:r>
      <w:r>
        <w:rPr>
          <w:sz w:val="20"/>
          <w:vertAlign w:val="subscript"/>
        </w:rPr>
        <w:t xml:space="preserve">3</w:t>
      </w:r>
      <w:r>
        <w:rPr>
          <w:sz w:val="20"/>
        </w:rPr>
        <w:t xml:space="preserve"> x L + С</w:t>
      </w:r>
      <w:r>
        <w:rPr>
          <w:sz w:val="20"/>
          <w:vertAlign w:val="subscript"/>
        </w:rPr>
        <w:t xml:space="preserve">4</w:t>
      </w:r>
      <w:r>
        <w:rPr>
          <w:sz w:val="20"/>
        </w:rPr>
        <w:t xml:space="preserve"> x R + С</w:t>
      </w:r>
      <w:r>
        <w:rPr>
          <w:sz w:val="20"/>
          <w:vertAlign w:val="subscript"/>
        </w:rPr>
        <w:t xml:space="preserve">5</w:t>
      </w:r>
      <w:r>
        <w:rPr>
          <w:sz w:val="20"/>
        </w:rPr>
        <w:t xml:space="preserve"> x N + С</w:t>
      </w:r>
      <w:r>
        <w:rPr>
          <w:sz w:val="20"/>
          <w:vertAlign w:val="subscript"/>
        </w:rPr>
        <w:t xml:space="preserve">6</w:t>
      </w:r>
      <w:r>
        <w:rPr>
          <w:sz w:val="20"/>
        </w:rPr>
        <w:t xml:space="preserve"> x N + С</w:t>
      </w:r>
      <w:r>
        <w:rPr>
          <w:sz w:val="20"/>
          <w:vertAlign w:val="subscript"/>
        </w:rPr>
        <w:t xml:space="preserve">7</w:t>
      </w:r>
      <w:r>
        <w:rPr>
          <w:sz w:val="20"/>
        </w:rPr>
        <w:t xml:space="preserve"> x N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4</w:t>
      </w:r>
      <w:r>
        <w:rPr>
          <w:sz w:val="20"/>
        </w:rP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pPr>
        <w:pStyle w:val="0"/>
        <w:spacing w:before="200" w:line-rule="auto"/>
        <w:ind w:firstLine="540"/>
        <w:jc w:val="both"/>
      </w:pPr>
      <w:r>
        <w:rPr>
          <w:sz w:val="20"/>
        </w:rPr>
        <w:t xml:space="preserve">С</w:t>
      </w:r>
      <w:r>
        <w:rPr>
          <w:sz w:val="20"/>
          <w:vertAlign w:val="subscript"/>
        </w:rPr>
        <w:t xml:space="preserve">5</w:t>
      </w:r>
      <w:r>
        <w:rPr>
          <w:sz w:val="20"/>
        </w:rPr>
        <w:t xml:space="preserve"> - стандартизированная тарифная ставка на покрытие расходов сетевой организации на строительство комплектных трансформаторных подстанций (КТП) с уровнем напряжения до 35 кВ (руб./кВт).</w:t>
      </w:r>
    </w:p>
    <w:p>
      <w:pPr>
        <w:pStyle w:val="0"/>
        <w:spacing w:before="200" w:line-rule="auto"/>
        <w:ind w:firstLine="540"/>
        <w:jc w:val="both"/>
      </w:pPr>
      <w:r>
        <w:rPr>
          <w:sz w:val="20"/>
        </w:rPr>
        <w:t xml:space="preserve">С</w:t>
      </w:r>
      <w:r>
        <w:rPr>
          <w:sz w:val="20"/>
          <w:vertAlign w:val="subscript"/>
        </w:rPr>
        <w:t xml:space="preserve">6</w:t>
      </w:r>
      <w:r>
        <w:rPr>
          <w:sz w:val="20"/>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pPr>
        <w:pStyle w:val="0"/>
        <w:spacing w:before="200" w:line-rule="auto"/>
        <w:ind w:firstLine="540"/>
        <w:jc w:val="both"/>
      </w:pPr>
      <w:r>
        <w:rPr>
          <w:sz w:val="20"/>
        </w:rPr>
        <w:t xml:space="preserve">С</w:t>
      </w:r>
      <w:r>
        <w:rPr>
          <w:sz w:val="20"/>
          <w:vertAlign w:val="subscript"/>
        </w:rPr>
        <w:t xml:space="preserve">7</w:t>
      </w:r>
      <w:r>
        <w:rPr>
          <w:sz w:val="20"/>
        </w:rPr>
        <w:t xml:space="preserve"> - стандартизированная тарифная ставка на покрытие расходов сетевой организации на строительство центров питания, подстанций уровнем напряжения 35 кВ и выше (ПС) (руб./кВт);</w:t>
      </w:r>
    </w:p>
    <w:p>
      <w:pPr>
        <w:pStyle w:val="0"/>
        <w:spacing w:before="200" w:line-rule="auto"/>
        <w:ind w:firstLine="540"/>
        <w:jc w:val="both"/>
      </w:pPr>
      <w:r>
        <w:rPr>
          <w:sz w:val="20"/>
        </w:rPr>
        <w:t xml:space="preserve">R - количество пунктов секционирования (реклоузеров, распределительных пунктов, переключательных пунктов) (шт.);</w:t>
      </w:r>
    </w:p>
    <w:p>
      <w:pPr>
        <w:pStyle w:val="0"/>
        <w:spacing w:before="200" w:line-rule="auto"/>
        <w:ind w:firstLine="540"/>
        <w:jc w:val="both"/>
      </w:pPr>
      <w:r>
        <w:rPr>
          <w:sz w:val="20"/>
        </w:rPr>
        <w:t xml:space="preserve">N - объем максимальной мощности на i-том уровне напряжения, указанный Заявителем в заявке на технологическое присоединение (кВт).</w:t>
      </w:r>
    </w:p>
    <w:p>
      <w:pPr>
        <w:pStyle w:val="0"/>
        <w:spacing w:before="200" w:line-rule="auto"/>
        <w:ind w:firstLine="540"/>
        <w:jc w:val="both"/>
      </w:pPr>
      <w:r>
        <w:rPr>
          <w:sz w:val="20"/>
        </w:rPr>
        <w:t xml:space="preserve">Стандартизированные тарифные ставки С</w:t>
      </w:r>
      <w:r>
        <w:rPr>
          <w:sz w:val="20"/>
          <w:vertAlign w:val="subscript"/>
        </w:rPr>
        <w:t xml:space="preserve">2</w:t>
      </w:r>
      <w:r>
        <w:rPr>
          <w:sz w:val="20"/>
        </w:rPr>
        <w:t xml:space="preserve"> и С</w:t>
      </w:r>
      <w:r>
        <w:rPr>
          <w:sz w:val="20"/>
          <w:vertAlign w:val="subscript"/>
        </w:rPr>
        <w:t xml:space="preserve">3</w:t>
      </w:r>
      <w:r>
        <w:rPr>
          <w:sz w:val="20"/>
        </w:rPr>
        <w:t xml:space="preserve"> применяются к протяженности линий электропередач по трассе.</w:t>
      </w:r>
    </w:p>
    <w:p>
      <w:pPr>
        <w:pStyle w:val="0"/>
        <w:spacing w:before="200" w:line-rule="auto"/>
        <w:ind w:firstLine="540"/>
        <w:jc w:val="both"/>
      </w:pPr>
      <w:r>
        <w:rPr>
          <w:sz w:val="20"/>
        </w:rPr>
        <w:t xml:space="preserve">Тарифные ставки на строительство подстанций (руб./кВт) установлены для технологического присоединения энергопринимающих устройств Заявителей по третьей категории надежности (по одному источнику электроснабжения). Для расчета размера платы за технологическое присоединение к двум независимым источникам электроснабжения с применением вышеуказанных тарифных ставок на строительство подстанций (руб./кВт) учитывается величина мощности, запрашиваемая по первой или второй категории надежности и присоединяемая к каждому независимому источнику электроснабжения. При этом резервный объем присоединяемой мощности по первой или второй категории надежности может быть меньше объема, присоединяемого к основному источнику электроснабжения.</w:t>
      </w:r>
    </w:p>
    <w:p>
      <w:pPr>
        <w:pStyle w:val="0"/>
        <w:spacing w:before="200" w:line-rule="auto"/>
        <w:ind w:firstLine="540"/>
        <w:jc w:val="both"/>
      </w:pPr>
      <w:r>
        <w:rPr>
          <w:sz w:val="20"/>
        </w:rPr>
        <w:t xml:space="preserve">г)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pPr>
        <w:pStyle w:val="0"/>
        <w:spacing w:before="200" w:line-rule="auto"/>
        <w:ind w:firstLine="540"/>
        <w:jc w:val="both"/>
      </w:pPr>
      <w:r>
        <w:rPr>
          <w:sz w:val="20"/>
        </w:rPr>
        <w:t xml:space="preserve">- 50% стоимости мероприятий, предусмотренных техническими условиями, определяется в ценах года, соответствующего году утверждения платы;</w:t>
      </w:r>
    </w:p>
    <w:p>
      <w:pPr>
        <w:pStyle w:val="0"/>
        <w:spacing w:before="200" w:line-rule="auto"/>
        <w:ind w:firstLine="540"/>
        <w:jc w:val="both"/>
      </w:pPr>
      <w:r>
        <w:rPr>
          <w:sz w:val="20"/>
        </w:rP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вторым предложением </w:t>
      </w:r>
      <w:hyperlink w:history="0" r:id="rId140" w:tooltip="Постановление Правительства РФ от 29.12.2011 N 1178 (ред. от 28.12.2023)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абзаца восьмого пункта 87</w:t>
        </w:r>
      </w:hyperlink>
      <w:r>
        <w:rPr>
          <w:sz w:val="20"/>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(при отсутствии данного индекса используется индекс потребительских цен) (далее - Основы ценообразования N 1178);</w:t>
      </w:r>
    </w:p>
    <w:p>
      <w:pPr>
        <w:pStyle w:val="0"/>
        <w:spacing w:before="200" w:line-rule="auto"/>
        <w:ind w:firstLine="540"/>
        <w:jc w:val="both"/>
      </w:pPr>
      <w:r>
        <w:rPr>
          <w:sz w:val="20"/>
        </w:rPr>
        <w:t xml:space="preserve">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pPr>
        <w:pStyle w:val="0"/>
        <w:spacing w:before="200" w:line-rule="auto"/>
        <w:ind w:firstLine="540"/>
        <w:jc w:val="both"/>
      </w:pPr>
      <w:r>
        <w:rPr>
          <w:sz w:val="20"/>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w:history="0" r:id="rId141" w:tooltip="Постановление Правительства РФ от 29.12.2011 N 1178 (ред. от 28.12.2023)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абзаца восьмого пункта 87</w:t>
        </w:r>
      </w:hyperlink>
      <w:r>
        <w:rPr>
          <w:sz w:val="20"/>
        </w:rPr>
        <w:t xml:space="preserve"> Основ ценообразования N 1178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pPr>
        <w:pStyle w:val="0"/>
        <w:spacing w:before="200" w:line-rule="auto"/>
        <w:ind w:firstLine="540"/>
        <w:jc w:val="both"/>
      </w:pPr>
      <w:r>
        <w:rPr>
          <w:sz w:val="20"/>
        </w:rP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вторым предложением </w:t>
      </w:r>
      <w:hyperlink w:history="0" r:id="rId142" w:tooltip="Постановление Правительства РФ от 29.12.2011 N 1178 (ред. от 28.12.2023)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КонсультантПлюс}">
        <w:r>
          <w:rPr>
            <w:sz w:val="20"/>
            <w:color w:val="0000ff"/>
          </w:rPr>
          <w:t xml:space="preserve">абзаца восьмого пункта 87</w:t>
        </w:r>
      </w:hyperlink>
      <w:r>
        <w:rPr>
          <w:sz w:val="20"/>
        </w:rPr>
        <w:t xml:space="preserve"> Основ ценообразования N 1178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pPr>
        <w:pStyle w:val="0"/>
        <w:spacing w:before="200" w:line-rule="auto"/>
        <w:ind w:firstLine="540"/>
        <w:jc w:val="both"/>
      </w:pPr>
      <w:r>
        <w:rPr>
          <w:sz w:val="20"/>
        </w:rPr>
        <w:t xml:space="preserve">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Комитета по ценам и тарифам Правительства Хабаровского края от 19.12.2023 N 44/14</w:t>
            <w:br/>
            <w:t>"Об установлении размера...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51216&amp;dst=426" TargetMode = "External"/>
	<Relationship Id="rId8" Type="http://schemas.openxmlformats.org/officeDocument/2006/relationships/hyperlink" Target="https://login.consultant.ru/link/?req=doc&amp;base=RZR&amp;n=450826&amp;dst=101483" TargetMode = "External"/>
	<Relationship Id="rId9" Type="http://schemas.openxmlformats.org/officeDocument/2006/relationships/hyperlink" Target="https://login.consultant.ru/link/?req=doc&amp;base=RZR&amp;n=466346&amp;dst=100106" TargetMode = "External"/>
	<Relationship Id="rId10" Type="http://schemas.openxmlformats.org/officeDocument/2006/relationships/hyperlink" Target="https://login.consultant.ru/link/?req=doc&amp;base=RZR&amp;n=418975" TargetMode = "External"/>
	<Relationship Id="rId11" Type="http://schemas.openxmlformats.org/officeDocument/2006/relationships/hyperlink" Target="https://login.consultant.ru/link/?req=doc&amp;base=RZR&amp;n=458951&amp;dst=100020" TargetMode = "External"/>
	<Relationship Id="rId12" Type="http://schemas.openxmlformats.org/officeDocument/2006/relationships/hyperlink" Target="https://login.consultant.ru/link/?req=doc&amp;base=RZR&amp;n=450985" TargetMode = "External"/>
	<Relationship Id="rId13" Type="http://schemas.openxmlformats.org/officeDocument/2006/relationships/hyperlink" Target="https://login.consultant.ru/link/?req=doc&amp;base=RLAW011&amp;n=178123&amp;dst=100344" TargetMode = "External"/>
	<Relationship Id="rId14" Type="http://schemas.openxmlformats.org/officeDocument/2006/relationships/hyperlink" Target="https://login.consultant.ru/link/?req=doc&amp;base=RZR&amp;n=372860&amp;dst=100068" TargetMode = "External"/>
	<Relationship Id="rId15" Type="http://schemas.openxmlformats.org/officeDocument/2006/relationships/hyperlink" Target="https://login.consultant.ru/link/?req=doc&amp;base=RZR&amp;n=451864&amp;dst=19" TargetMode = "External"/>
	<Relationship Id="rId16" Type="http://schemas.openxmlformats.org/officeDocument/2006/relationships/hyperlink" Target="https://login.consultant.ru/link/?req=doc&amp;base=RZR&amp;n=451873&amp;dst=28" TargetMode = "External"/>
	<Relationship Id="rId17" Type="http://schemas.openxmlformats.org/officeDocument/2006/relationships/hyperlink" Target="https://login.consultant.ru/link/?req=doc&amp;base=RZR&amp;n=451873&amp;dst=58" TargetMode = "External"/>
	<Relationship Id="rId18" Type="http://schemas.openxmlformats.org/officeDocument/2006/relationships/hyperlink" Target="https://login.consultant.ru/link/?req=doc&amp;base=RZR&amp;n=451873&amp;dst=100537" TargetMode = "External"/>
	<Relationship Id="rId19" Type="http://schemas.openxmlformats.org/officeDocument/2006/relationships/hyperlink" Target="https://login.consultant.ru/link/?req=doc&amp;base=RZR&amp;n=451873&amp;dst=114" TargetMode = "External"/>
	<Relationship Id="rId20" Type="http://schemas.openxmlformats.org/officeDocument/2006/relationships/hyperlink" Target="https://login.consultant.ru/link/?req=doc&amp;base=RZR&amp;n=451872&amp;dst=271" TargetMode = "External"/>
	<Relationship Id="rId21" Type="http://schemas.openxmlformats.org/officeDocument/2006/relationships/hyperlink" Target="https://login.consultant.ru/link/?req=doc&amp;base=RZR&amp;n=451866&amp;dst=100008" TargetMode = "External"/>
	<Relationship Id="rId22" Type="http://schemas.openxmlformats.org/officeDocument/2006/relationships/hyperlink" Target="https://login.consultant.ru/link/?req=doc&amp;base=RZR&amp;n=451868&amp;dst=5" TargetMode = "External"/>
	<Relationship Id="rId23" Type="http://schemas.openxmlformats.org/officeDocument/2006/relationships/hyperlink" Target="https://login.consultant.ru/link/?req=doc&amp;base=RZR&amp;n=451863&amp;dst=105904" TargetMode = "External"/>
	<Relationship Id="rId24" Type="http://schemas.openxmlformats.org/officeDocument/2006/relationships/hyperlink" Target="https://login.consultant.ru/link/?req=doc&amp;base=RZR&amp;n=41141" TargetMode = "External"/>
	<Relationship Id="rId25" Type="http://schemas.openxmlformats.org/officeDocument/2006/relationships/hyperlink" Target="https://login.consultant.ru/link/?req=doc&amp;base=RZR&amp;n=181977&amp;dst=100005" TargetMode = "External"/>
	<Relationship Id="rId26" Type="http://schemas.openxmlformats.org/officeDocument/2006/relationships/hyperlink" Target="https://login.consultant.ru/link/?req=doc&amp;base=RZR&amp;n=181977&amp;dst=4" TargetMode = "External"/>
	<Relationship Id="rId27" Type="http://schemas.openxmlformats.org/officeDocument/2006/relationships/hyperlink" Target="https://login.consultant.ru/link/?req=doc&amp;base=RZR&amp;n=450826&amp;dst=101304" TargetMode = "External"/>
	<Relationship Id="rId28" Type="http://schemas.openxmlformats.org/officeDocument/2006/relationships/hyperlink" Target="https://login.consultant.ru/link/?req=doc&amp;base=RZR&amp;n=450826&amp;dst=101483" TargetMode = "External"/>
	<Relationship Id="rId29" Type="http://schemas.openxmlformats.org/officeDocument/2006/relationships/hyperlink" Target="https://login.consultant.ru/link/?req=doc&amp;base=RZR&amp;n=450826&amp;dst=101504" TargetMode = "External"/>
	<Relationship Id="rId30" Type="http://schemas.openxmlformats.org/officeDocument/2006/relationships/hyperlink" Target="https://login.consultant.ru/link/?req=doc&amp;base=RZR&amp;n=450826&amp;dst=101508" TargetMode = "External"/>
	<Relationship Id="rId31" Type="http://schemas.openxmlformats.org/officeDocument/2006/relationships/hyperlink" Target="https://login.consultant.ru/link/?req=doc&amp;base=RZR&amp;n=450826&amp;dst=101483" TargetMode = "External"/>
	<Relationship Id="rId32" Type="http://schemas.openxmlformats.org/officeDocument/2006/relationships/hyperlink" Target="https://login.consultant.ru/link/?req=doc&amp;base=RZR&amp;n=450826&amp;dst=101486" TargetMode = "External"/>
	<Relationship Id="rId33" Type="http://schemas.openxmlformats.org/officeDocument/2006/relationships/hyperlink" Target="https://login.consultant.ru/link/?req=doc&amp;base=RZR&amp;n=450826&amp;dst=101487" TargetMode = "External"/>
	<Relationship Id="rId34" Type="http://schemas.openxmlformats.org/officeDocument/2006/relationships/hyperlink" Target="https://login.consultant.ru/link/?req=doc&amp;base=RZR&amp;n=450826&amp;dst=101930" TargetMode = "External"/>
	<Relationship Id="rId35" Type="http://schemas.openxmlformats.org/officeDocument/2006/relationships/hyperlink" Target="https://login.consultant.ru/link/?req=doc&amp;base=RZR&amp;n=450826&amp;dst=101508" TargetMode = "External"/>
	<Relationship Id="rId36" Type="http://schemas.openxmlformats.org/officeDocument/2006/relationships/hyperlink" Target="https://login.consultant.ru/link/?req=doc&amp;base=RZR&amp;n=450826&amp;dst=100776" TargetMode = "External"/>
	<Relationship Id="rId37" Type="http://schemas.openxmlformats.org/officeDocument/2006/relationships/hyperlink" Target="https://login.consultant.ru/link/?req=doc&amp;base=RZR&amp;n=450826&amp;dst=101304" TargetMode = "External"/>
	<Relationship Id="rId38" Type="http://schemas.openxmlformats.org/officeDocument/2006/relationships/hyperlink" Target="https://login.consultant.ru/link/?req=doc&amp;base=RZR&amp;n=450826&amp;dst=100776" TargetMode = "External"/>
	<Relationship Id="rId39" Type="http://schemas.openxmlformats.org/officeDocument/2006/relationships/hyperlink" Target="https://login.consultant.ru/link/?req=doc&amp;base=RZR&amp;n=450826&amp;dst=101508" TargetMode = "External"/>
	<Relationship Id="rId40" Type="http://schemas.openxmlformats.org/officeDocument/2006/relationships/hyperlink" Target="https://login.consultant.ru/link/?req=doc&amp;base=RZR&amp;n=424574&amp;dst=100010" TargetMode = "External"/>
	<Relationship Id="rId41" Type="http://schemas.openxmlformats.org/officeDocument/2006/relationships/hyperlink" Target="https://login.consultant.ru/link/?req=doc&amp;base=RLAW011&amp;n=180687" TargetMode = "External"/>
	<Relationship Id="rId42" Type="http://schemas.openxmlformats.org/officeDocument/2006/relationships/hyperlink" Target="https://login.consultant.ru/link/?req=doc&amp;base=RLAW011&amp;n=171431" TargetMode = "External"/>
	<Relationship Id="rId43" Type="http://schemas.openxmlformats.org/officeDocument/2006/relationships/hyperlink" Target="https://login.consultant.ru/link/?req=doc&amp;base=RLAW011&amp;n=171685" TargetMode = "External"/>
	<Relationship Id="rId44" Type="http://schemas.openxmlformats.org/officeDocument/2006/relationships/hyperlink" Target="https://login.consultant.ru/link/?req=doc&amp;base=RLAW011&amp;n=173948" TargetMode = "External"/>
	<Relationship Id="rId45" Type="http://schemas.openxmlformats.org/officeDocument/2006/relationships/hyperlink" Target="https://login.consultant.ru/link/?req=doc&amp;base=RLAW011&amp;n=174222" TargetMode = "External"/>
	<Relationship Id="rId46" Type="http://schemas.openxmlformats.org/officeDocument/2006/relationships/hyperlink" Target="https://login.consultant.ru/link/?req=doc&amp;base=RLAW011&amp;n=174943" TargetMode = "External"/>
	<Relationship Id="rId47" Type="http://schemas.openxmlformats.org/officeDocument/2006/relationships/hyperlink" Target="https://login.consultant.ru/link/?req=doc&amp;base=RLAW011&amp;n=175663" TargetMode = "External"/>
	<Relationship Id="rId48" Type="http://schemas.openxmlformats.org/officeDocument/2006/relationships/hyperlink" Target="https://login.consultant.ru/link/?req=doc&amp;base=RLAW011&amp;n=176374" TargetMode = "External"/>
	<Relationship Id="rId49" Type="http://schemas.openxmlformats.org/officeDocument/2006/relationships/hyperlink" Target="https://login.consultant.ru/link/?req=doc&amp;base=RLAW011&amp;n=177763" TargetMode = "External"/>
	<Relationship Id="rId50" Type="http://schemas.openxmlformats.org/officeDocument/2006/relationships/hyperlink" Target="https://login.consultant.ru/link/?req=doc&amp;base=RLAW011&amp;n=180012" TargetMode = "External"/>
	<Relationship Id="rId51" Type="http://schemas.openxmlformats.org/officeDocument/2006/relationships/hyperlink" Target="https://login.consultant.ru/link/?req=doc&amp;base=RLAW011&amp;n=180419" TargetMode = "External"/>
	<Relationship Id="rId52" Type="http://schemas.openxmlformats.org/officeDocument/2006/relationships/hyperlink" Target="https://login.consultant.ru/link/?req=doc&amp;base=RLAW011&amp;n=180639" TargetMode = "External"/>
	<Relationship Id="rId53" Type="http://schemas.openxmlformats.org/officeDocument/2006/relationships/hyperlink" Target="https://login.consultant.ru/link/?req=doc&amp;base=RZR&amp;n=450985&amp;dst=100091" TargetMode = "External"/>
	<Relationship Id="rId54" Type="http://schemas.openxmlformats.org/officeDocument/2006/relationships/hyperlink" Target="https://login.consultant.ru/link/?req=doc&amp;base=RZR&amp;n=450985&amp;dst=100091" TargetMode = "External"/>
	<Relationship Id="rId55" Type="http://schemas.openxmlformats.org/officeDocument/2006/relationships/image" Target="media/image2.wmf"/>
	<Relationship Id="rId56" Type="http://schemas.openxmlformats.org/officeDocument/2006/relationships/image" Target="media/image3.wmf"/>
	<Relationship Id="rId57" Type="http://schemas.openxmlformats.org/officeDocument/2006/relationships/image" Target="media/image4.wmf"/>
	<Relationship Id="rId58" Type="http://schemas.openxmlformats.org/officeDocument/2006/relationships/image" Target="media/image5.wmf"/>
	<Relationship Id="rId59" Type="http://schemas.openxmlformats.org/officeDocument/2006/relationships/image" Target="media/image6.wmf"/>
	<Relationship Id="rId60" Type="http://schemas.openxmlformats.org/officeDocument/2006/relationships/image" Target="media/image7.wmf"/>
	<Relationship Id="rId61" Type="http://schemas.openxmlformats.org/officeDocument/2006/relationships/image" Target="media/image8.wmf"/>
	<Relationship Id="rId62" Type="http://schemas.openxmlformats.org/officeDocument/2006/relationships/image" Target="media/image9.wmf"/>
	<Relationship Id="rId63" Type="http://schemas.openxmlformats.org/officeDocument/2006/relationships/image" Target="media/image10.wmf"/>
	<Relationship Id="rId64" Type="http://schemas.openxmlformats.org/officeDocument/2006/relationships/image" Target="media/image11.wmf"/>
	<Relationship Id="rId65" Type="http://schemas.openxmlformats.org/officeDocument/2006/relationships/image" Target="media/image12.wmf"/>
	<Relationship Id="rId66" Type="http://schemas.openxmlformats.org/officeDocument/2006/relationships/image" Target="media/image13.wmf"/>
	<Relationship Id="rId67" Type="http://schemas.openxmlformats.org/officeDocument/2006/relationships/image" Target="media/image14.wmf"/>
	<Relationship Id="rId68" Type="http://schemas.openxmlformats.org/officeDocument/2006/relationships/image" Target="media/image15.wmf"/>
	<Relationship Id="rId69" Type="http://schemas.openxmlformats.org/officeDocument/2006/relationships/image" Target="media/image16.wmf"/>
	<Relationship Id="rId70" Type="http://schemas.openxmlformats.org/officeDocument/2006/relationships/image" Target="media/image17.wmf"/>
	<Relationship Id="rId71" Type="http://schemas.openxmlformats.org/officeDocument/2006/relationships/image" Target="media/image18.wmf"/>
	<Relationship Id="rId72" Type="http://schemas.openxmlformats.org/officeDocument/2006/relationships/image" Target="media/image19.wmf"/>
	<Relationship Id="rId73" Type="http://schemas.openxmlformats.org/officeDocument/2006/relationships/image" Target="media/image20.wmf"/>
	<Relationship Id="rId74" Type="http://schemas.openxmlformats.org/officeDocument/2006/relationships/image" Target="media/image21.wmf"/>
	<Relationship Id="rId75" Type="http://schemas.openxmlformats.org/officeDocument/2006/relationships/image" Target="media/image22.wmf"/>
	<Relationship Id="rId76" Type="http://schemas.openxmlformats.org/officeDocument/2006/relationships/image" Target="media/image23.wmf"/>
	<Relationship Id="rId77" Type="http://schemas.openxmlformats.org/officeDocument/2006/relationships/image" Target="media/image24.wmf"/>
	<Relationship Id="rId78" Type="http://schemas.openxmlformats.org/officeDocument/2006/relationships/image" Target="media/image25.wmf"/>
	<Relationship Id="rId79" Type="http://schemas.openxmlformats.org/officeDocument/2006/relationships/image" Target="media/image26.wmf"/>
	<Relationship Id="rId80" Type="http://schemas.openxmlformats.org/officeDocument/2006/relationships/image" Target="media/image27.wmf"/>
	<Relationship Id="rId81" Type="http://schemas.openxmlformats.org/officeDocument/2006/relationships/image" Target="media/image28.wmf"/>
	<Relationship Id="rId82" Type="http://schemas.openxmlformats.org/officeDocument/2006/relationships/image" Target="media/image29.wmf"/>
	<Relationship Id="rId83" Type="http://schemas.openxmlformats.org/officeDocument/2006/relationships/image" Target="media/image30.wmf"/>
	<Relationship Id="rId84" Type="http://schemas.openxmlformats.org/officeDocument/2006/relationships/image" Target="media/image31.wmf"/>
	<Relationship Id="rId85" Type="http://schemas.openxmlformats.org/officeDocument/2006/relationships/image" Target="media/image32.wmf"/>
	<Relationship Id="rId86" Type="http://schemas.openxmlformats.org/officeDocument/2006/relationships/image" Target="media/image33.wmf"/>
	<Relationship Id="rId87" Type="http://schemas.openxmlformats.org/officeDocument/2006/relationships/image" Target="media/image34.wmf"/>
	<Relationship Id="rId88" Type="http://schemas.openxmlformats.org/officeDocument/2006/relationships/image" Target="media/image35.wmf"/>
	<Relationship Id="rId89" Type="http://schemas.openxmlformats.org/officeDocument/2006/relationships/image" Target="media/image36.wmf"/>
	<Relationship Id="rId90" Type="http://schemas.openxmlformats.org/officeDocument/2006/relationships/image" Target="media/image37.wmf"/>
	<Relationship Id="rId91" Type="http://schemas.openxmlformats.org/officeDocument/2006/relationships/image" Target="media/image38.wmf"/>
	<Relationship Id="rId92" Type="http://schemas.openxmlformats.org/officeDocument/2006/relationships/image" Target="media/image39.wmf"/>
	<Relationship Id="rId93" Type="http://schemas.openxmlformats.org/officeDocument/2006/relationships/image" Target="media/image40.wmf"/>
	<Relationship Id="rId94" Type="http://schemas.openxmlformats.org/officeDocument/2006/relationships/image" Target="media/image41.wmf"/>
	<Relationship Id="rId95" Type="http://schemas.openxmlformats.org/officeDocument/2006/relationships/image" Target="media/image42.wmf"/>
	<Relationship Id="rId96" Type="http://schemas.openxmlformats.org/officeDocument/2006/relationships/image" Target="media/image43.wmf"/>
	<Relationship Id="rId97" Type="http://schemas.openxmlformats.org/officeDocument/2006/relationships/image" Target="media/image44.wmf"/>
	<Relationship Id="rId98" Type="http://schemas.openxmlformats.org/officeDocument/2006/relationships/image" Target="media/image45.wmf"/>
	<Relationship Id="rId99" Type="http://schemas.openxmlformats.org/officeDocument/2006/relationships/image" Target="media/image46.wmf"/>
	<Relationship Id="rId100" Type="http://schemas.openxmlformats.org/officeDocument/2006/relationships/image" Target="media/image47.wmf"/>
	<Relationship Id="rId101" Type="http://schemas.openxmlformats.org/officeDocument/2006/relationships/image" Target="media/image48.wmf"/>
	<Relationship Id="rId102" Type="http://schemas.openxmlformats.org/officeDocument/2006/relationships/image" Target="media/image49.wmf"/>
	<Relationship Id="rId103" Type="http://schemas.openxmlformats.org/officeDocument/2006/relationships/image" Target="media/image50.wmf"/>
	<Relationship Id="rId104" Type="http://schemas.openxmlformats.org/officeDocument/2006/relationships/image" Target="media/image51.wmf"/>
	<Relationship Id="rId105" Type="http://schemas.openxmlformats.org/officeDocument/2006/relationships/image" Target="media/image52.wmf"/>
	<Relationship Id="rId106" Type="http://schemas.openxmlformats.org/officeDocument/2006/relationships/image" Target="media/image53.wmf"/>
	<Relationship Id="rId107" Type="http://schemas.openxmlformats.org/officeDocument/2006/relationships/image" Target="media/image54.wmf"/>
	<Relationship Id="rId108" Type="http://schemas.openxmlformats.org/officeDocument/2006/relationships/image" Target="media/image55.wmf"/>
	<Relationship Id="rId109" Type="http://schemas.openxmlformats.org/officeDocument/2006/relationships/image" Target="media/image56.wmf"/>
	<Relationship Id="rId110" Type="http://schemas.openxmlformats.org/officeDocument/2006/relationships/image" Target="media/image57.wmf"/>
	<Relationship Id="rId111" Type="http://schemas.openxmlformats.org/officeDocument/2006/relationships/image" Target="media/image58.wmf"/>
	<Relationship Id="rId112" Type="http://schemas.openxmlformats.org/officeDocument/2006/relationships/image" Target="media/image59.wmf"/>
	<Relationship Id="rId113" Type="http://schemas.openxmlformats.org/officeDocument/2006/relationships/image" Target="media/image60.wmf"/>
	<Relationship Id="rId114" Type="http://schemas.openxmlformats.org/officeDocument/2006/relationships/image" Target="media/image61.wmf"/>
	<Relationship Id="rId115" Type="http://schemas.openxmlformats.org/officeDocument/2006/relationships/image" Target="media/image62.wmf"/>
	<Relationship Id="rId116" Type="http://schemas.openxmlformats.org/officeDocument/2006/relationships/image" Target="media/image63.wmf"/>
	<Relationship Id="rId117" Type="http://schemas.openxmlformats.org/officeDocument/2006/relationships/image" Target="media/image64.wmf"/>
	<Relationship Id="rId118" Type="http://schemas.openxmlformats.org/officeDocument/2006/relationships/image" Target="media/image65.wmf"/>
	<Relationship Id="rId119" Type="http://schemas.openxmlformats.org/officeDocument/2006/relationships/image" Target="media/image66.wmf"/>
	<Relationship Id="rId120" Type="http://schemas.openxmlformats.org/officeDocument/2006/relationships/image" Target="media/image67.wmf"/>
	<Relationship Id="rId121" Type="http://schemas.openxmlformats.org/officeDocument/2006/relationships/image" Target="media/image68.wmf"/>
	<Relationship Id="rId122" Type="http://schemas.openxmlformats.org/officeDocument/2006/relationships/image" Target="media/image69.wmf"/>
	<Relationship Id="rId123" Type="http://schemas.openxmlformats.org/officeDocument/2006/relationships/image" Target="media/image70.wmf"/>
	<Relationship Id="rId124" Type="http://schemas.openxmlformats.org/officeDocument/2006/relationships/image" Target="media/image71.wmf"/>
	<Relationship Id="rId125" Type="http://schemas.openxmlformats.org/officeDocument/2006/relationships/image" Target="media/image72.wmf"/>
	<Relationship Id="rId126" Type="http://schemas.openxmlformats.org/officeDocument/2006/relationships/image" Target="media/image73.wmf"/>
	<Relationship Id="rId127" Type="http://schemas.openxmlformats.org/officeDocument/2006/relationships/image" Target="media/image74.wmf"/>
	<Relationship Id="rId128" Type="http://schemas.openxmlformats.org/officeDocument/2006/relationships/image" Target="media/image75.wmf"/>
	<Relationship Id="rId129" Type="http://schemas.openxmlformats.org/officeDocument/2006/relationships/image" Target="media/image76.wmf"/>
	<Relationship Id="rId130" Type="http://schemas.openxmlformats.org/officeDocument/2006/relationships/image" Target="media/image77.wmf"/>
	<Relationship Id="rId131" Type="http://schemas.openxmlformats.org/officeDocument/2006/relationships/image" Target="media/image78.wmf"/>
	<Relationship Id="rId132" Type="http://schemas.openxmlformats.org/officeDocument/2006/relationships/image" Target="media/image79.wmf"/>
	<Relationship Id="rId133" Type="http://schemas.openxmlformats.org/officeDocument/2006/relationships/image" Target="media/image80.wmf"/>
	<Relationship Id="rId134" Type="http://schemas.openxmlformats.org/officeDocument/2006/relationships/image" Target="media/image81.wmf"/>
	<Relationship Id="rId135" Type="http://schemas.openxmlformats.org/officeDocument/2006/relationships/image" Target="media/image82.wmf"/>
	<Relationship Id="rId136" Type="http://schemas.openxmlformats.org/officeDocument/2006/relationships/image" Target="media/image83.wmf"/>
	<Relationship Id="rId137" Type="http://schemas.openxmlformats.org/officeDocument/2006/relationships/image" Target="media/image84.wmf"/>
	<Relationship Id="rId138" Type="http://schemas.openxmlformats.org/officeDocument/2006/relationships/hyperlink" Target="https://login.consultant.ru/link/?req=doc&amp;base=RZR&amp;n=450985&amp;dst=100060" TargetMode = "External"/>
	<Relationship Id="rId139" Type="http://schemas.openxmlformats.org/officeDocument/2006/relationships/hyperlink" Target="https://login.consultant.ru/link/?req=doc&amp;base=RZR&amp;n=450985&amp;dst=100062" TargetMode = "External"/>
	<Relationship Id="rId140" Type="http://schemas.openxmlformats.org/officeDocument/2006/relationships/hyperlink" Target="https://login.consultant.ru/link/?req=doc&amp;base=RZR&amp;n=466346&amp;dst=1330" TargetMode = "External"/>
	<Relationship Id="rId141" Type="http://schemas.openxmlformats.org/officeDocument/2006/relationships/hyperlink" Target="https://login.consultant.ru/link/?req=doc&amp;base=RZR&amp;n=466346&amp;dst=1330" TargetMode = "External"/>
	<Relationship Id="rId142" Type="http://schemas.openxmlformats.org/officeDocument/2006/relationships/hyperlink" Target="https://login.consultant.ru/link/?req=doc&amp;base=RZR&amp;n=466346&amp;dst=13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Комитета по ценам и тарифам Правительства Хабаровского края от 19.12.2023 N 44/14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2024 год"</dc:title>
  <dcterms:created xsi:type="dcterms:W3CDTF">2024-01-11T04:28:45Z</dcterms:created>
</cp:coreProperties>
</file>